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175" w:type="dxa"/>
        <w:tblCellMar>
          <w:left w:w="0" w:type="dxa"/>
          <w:right w:w="0" w:type="dxa"/>
        </w:tblCellMar>
        <w:tblLook w:val="04A0" w:firstRow="1" w:lastRow="0" w:firstColumn="1" w:lastColumn="0" w:noHBand="0" w:noVBand="1"/>
      </w:tblPr>
      <w:tblGrid>
        <w:gridCol w:w="8100"/>
        <w:gridCol w:w="2430"/>
      </w:tblGrid>
      <w:tr w:rsidR="00FE51D5" w14:paraId="2878CD13" w14:textId="77777777" w:rsidTr="00175C5E">
        <w:tc>
          <w:tcPr>
            <w:tcW w:w="8100" w:type="dxa"/>
            <w:shd w:val="clear" w:color="auto" w:fill="8DB3E2" w:themeFill="text2" w:themeFillTint="66"/>
            <w:vAlign w:val="center"/>
          </w:tcPr>
          <w:p w14:paraId="722655E2" w14:textId="77777777" w:rsidR="00FE51D5" w:rsidRDefault="00FE51D5" w:rsidP="00175C5E">
            <w:pPr>
              <w:jc w:val="center"/>
              <w:rPr>
                <w:rFonts w:ascii="Arial" w:hAnsi="Arial" w:cs="Arial"/>
                <w:b/>
                <w:smallCaps/>
                <w:w w:val="125"/>
                <w:sz w:val="56"/>
                <w:szCs w:val="64"/>
              </w:rPr>
            </w:pPr>
            <w:bookmarkStart w:id="0" w:name="_Hlk31050316"/>
            <w:r>
              <w:rPr>
                <w:rFonts w:ascii="Arial" w:hAnsi="Arial" w:cs="Arial"/>
                <w:b/>
                <w:smallCaps/>
                <w:sz w:val="72"/>
                <w:szCs w:val="60"/>
              </w:rPr>
              <w:t>Faegre Drinker</w:t>
            </w:r>
          </w:p>
          <w:bookmarkEnd w:id="0"/>
          <w:p w14:paraId="43B9A5D4" w14:textId="40CFA726" w:rsidR="00FE51D5" w:rsidRDefault="00FE51D5" w:rsidP="00175C5E">
            <w:pPr>
              <w:jc w:val="center"/>
              <w:rPr>
                <w:rFonts w:ascii="Arial" w:hAnsi="Arial" w:cs="Arial"/>
                <w:sz w:val="52"/>
                <w:szCs w:val="56"/>
              </w:rPr>
            </w:pPr>
            <w:r>
              <w:rPr>
                <w:rFonts w:ascii="Arial" w:hAnsi="Arial" w:cs="Arial"/>
                <w:sz w:val="40"/>
                <w:szCs w:val="56"/>
              </w:rPr>
              <w:t>202</w:t>
            </w:r>
            <w:r w:rsidR="00600611">
              <w:rPr>
                <w:rFonts w:ascii="Arial" w:hAnsi="Arial" w:cs="Arial"/>
                <w:sz w:val="40"/>
                <w:szCs w:val="56"/>
              </w:rPr>
              <w:t>3</w:t>
            </w:r>
            <w:r>
              <w:rPr>
                <w:rFonts w:ascii="Arial" w:hAnsi="Arial" w:cs="Arial"/>
                <w:sz w:val="40"/>
                <w:szCs w:val="56"/>
              </w:rPr>
              <w:t xml:space="preserve"> Indiana Legislative Upda</w:t>
            </w:r>
            <w:r w:rsidR="00AC03D1">
              <w:rPr>
                <w:rFonts w:ascii="Arial" w:hAnsi="Arial" w:cs="Arial"/>
                <w:sz w:val="40"/>
                <w:szCs w:val="56"/>
              </w:rPr>
              <w:t xml:space="preserve">te – </w:t>
            </w:r>
            <w:r w:rsidR="0028413C">
              <w:rPr>
                <w:rFonts w:ascii="Arial" w:hAnsi="Arial" w:cs="Arial"/>
                <w:sz w:val="40"/>
                <w:szCs w:val="56"/>
              </w:rPr>
              <w:t>2/</w:t>
            </w:r>
            <w:r w:rsidR="00615A09">
              <w:rPr>
                <w:rFonts w:ascii="Arial" w:hAnsi="Arial" w:cs="Arial"/>
                <w:sz w:val="40"/>
                <w:szCs w:val="56"/>
              </w:rPr>
              <w:t>24</w:t>
            </w:r>
            <w:r w:rsidR="00AC03D1">
              <w:rPr>
                <w:rFonts w:ascii="Arial" w:hAnsi="Arial" w:cs="Arial"/>
                <w:sz w:val="40"/>
                <w:szCs w:val="56"/>
              </w:rPr>
              <w:t>/23</w:t>
            </w:r>
            <w:r>
              <w:rPr>
                <w:rFonts w:ascii="Arial" w:hAnsi="Arial" w:cs="Arial"/>
                <w:sz w:val="40"/>
                <w:szCs w:val="56"/>
              </w:rPr>
              <w:t xml:space="preserve"> </w:t>
            </w:r>
          </w:p>
          <w:p w14:paraId="441B910E" w14:textId="77777777" w:rsidR="00FE51D5" w:rsidRPr="002E5722" w:rsidRDefault="00FE51D5" w:rsidP="00175C5E">
            <w:pPr>
              <w:jc w:val="center"/>
              <w:rPr>
                <w:b/>
                <w:color w:val="FFFFFF" w:themeColor="background1"/>
                <w:spacing w:val="20"/>
                <w:position w:val="-6"/>
              </w:rPr>
            </w:pPr>
            <w:r w:rsidRPr="002E5722">
              <w:rPr>
                <w:rFonts w:ascii="Arial" w:hAnsi="Arial" w:cs="Arial"/>
                <w:b/>
                <w:spacing w:val="20"/>
                <w:position w:val="-6"/>
                <w:sz w:val="56"/>
                <w:szCs w:val="56"/>
              </w:rPr>
              <w:t>BOMA Indianapolis</w:t>
            </w:r>
          </w:p>
        </w:tc>
        <w:tc>
          <w:tcPr>
            <w:tcW w:w="2430" w:type="dxa"/>
            <w:shd w:val="clear" w:color="auto" w:fill="B8CCE4" w:themeFill="accent1" w:themeFillTint="66"/>
          </w:tcPr>
          <w:p w14:paraId="70989429" w14:textId="77777777" w:rsidR="00FE51D5" w:rsidRDefault="00FE51D5" w:rsidP="00175C5E">
            <w:pPr>
              <w:jc w:val="right"/>
            </w:pPr>
            <w:r>
              <w:rPr>
                <w:noProof/>
              </w:rPr>
              <w:drawing>
                <wp:inline distT="0" distB="0" distL="0" distR="0" wp14:anchorId="674783D2" wp14:editId="3D990633">
                  <wp:extent cx="1533525" cy="1533525"/>
                  <wp:effectExtent l="0" t="0" r="0" b="0"/>
                  <wp:docPr id="4" name="Picture 2" descr="imagesCA461P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61PF5.jpg"/>
                          <pic:cNvPicPr/>
                        </pic:nvPicPr>
                        <pic:blipFill>
                          <a:blip r:embed="rId8" cstate="print">
                            <a:duotone>
                              <a:schemeClr val="accent1">
                                <a:shade val="45000"/>
                                <a:satMod val="135000"/>
                              </a:schemeClr>
                              <a:prstClr val="white"/>
                            </a:duotone>
                          </a:blip>
                          <a:stretch>
                            <a:fillRect/>
                          </a:stretch>
                        </pic:blipFill>
                        <pic:spPr>
                          <a:xfrm>
                            <a:off x="0" y="0"/>
                            <a:ext cx="1533525" cy="1533525"/>
                          </a:xfrm>
                          <a:prstGeom prst="rect">
                            <a:avLst/>
                          </a:prstGeom>
                        </pic:spPr>
                      </pic:pic>
                    </a:graphicData>
                  </a:graphic>
                </wp:inline>
              </w:drawing>
            </w:r>
          </w:p>
        </w:tc>
      </w:tr>
    </w:tbl>
    <w:p w14:paraId="3D602632" w14:textId="76A2854D" w:rsidR="00FE51D5" w:rsidRDefault="0028413C" w:rsidP="00FE51D5">
      <w:pPr>
        <w:jc w:val="right"/>
        <w:rPr>
          <w:rFonts w:asciiTheme="minorHAnsi" w:hAnsiTheme="minorHAnsi"/>
          <w:b/>
          <w:i/>
          <w:sz w:val="28"/>
        </w:rPr>
      </w:pPr>
      <w:r>
        <w:rPr>
          <w:rFonts w:asciiTheme="minorHAnsi" w:hAnsiTheme="minorHAnsi"/>
          <w:b/>
          <w:i/>
          <w:sz w:val="28"/>
        </w:rPr>
        <w:t xml:space="preserve">February </w:t>
      </w:r>
      <w:r w:rsidR="00615A09">
        <w:rPr>
          <w:rFonts w:asciiTheme="minorHAnsi" w:hAnsiTheme="minorHAnsi"/>
          <w:b/>
          <w:i/>
          <w:sz w:val="28"/>
        </w:rPr>
        <w:t>24</w:t>
      </w:r>
      <w:r w:rsidR="00FE51D5">
        <w:rPr>
          <w:rFonts w:asciiTheme="minorHAnsi" w:hAnsiTheme="minorHAnsi"/>
          <w:b/>
          <w:i/>
          <w:sz w:val="28"/>
        </w:rPr>
        <w:t>, 202</w:t>
      </w:r>
      <w:r w:rsidR="00AC03D1">
        <w:rPr>
          <w:rFonts w:asciiTheme="minorHAnsi" w:hAnsiTheme="minorHAnsi"/>
          <w:b/>
          <w:i/>
          <w:sz w:val="28"/>
        </w:rPr>
        <w:t>3</w:t>
      </w:r>
    </w:p>
    <w:p w14:paraId="2CA63344" w14:textId="77777777" w:rsidR="00FE51D5" w:rsidRDefault="00FE51D5" w:rsidP="00FE51D5">
      <w:pPr>
        <w:tabs>
          <w:tab w:val="left" w:pos="0"/>
        </w:tabs>
        <w:spacing w:before="240"/>
        <w:contextualSpacing/>
        <w:rPr>
          <w:rFonts w:ascii="Tahoma" w:hAnsi="Tahoma" w:cs="Tahoma"/>
          <w:bCs/>
        </w:rPr>
      </w:pPr>
    </w:p>
    <w:p w14:paraId="5A4563B8" w14:textId="77777777" w:rsidR="00615A09" w:rsidRPr="00615A09" w:rsidRDefault="00615A09" w:rsidP="00615A09">
      <w:pPr>
        <w:rPr>
          <w:rFonts w:eastAsia="Calibri" w:cs="Arial"/>
        </w:rPr>
      </w:pPr>
      <w:bookmarkStart w:id="1" w:name="_Hlk94515813"/>
      <w:r w:rsidRPr="00615A09">
        <w:rPr>
          <w:rFonts w:eastAsia="Calibri" w:cs="Arial"/>
        </w:rPr>
        <w:t xml:space="preserve">We are almost halfway through the 2023 legislative session! </w:t>
      </w:r>
    </w:p>
    <w:p w14:paraId="330F6DF3" w14:textId="77777777" w:rsidR="00615A09" w:rsidRPr="00615A09" w:rsidRDefault="00615A09" w:rsidP="00615A09">
      <w:pPr>
        <w:rPr>
          <w:rFonts w:eastAsia="Calibri" w:cs="Arial"/>
        </w:rPr>
      </w:pPr>
    </w:p>
    <w:p w14:paraId="71F9D087" w14:textId="77777777" w:rsidR="00615A09" w:rsidRPr="00615A09" w:rsidRDefault="00615A09" w:rsidP="00615A09">
      <w:pPr>
        <w:rPr>
          <w:rFonts w:eastAsia="Calibri" w:cs="Calibri"/>
          <w:sz w:val="22"/>
        </w:rPr>
      </w:pPr>
      <w:r w:rsidRPr="00615A09">
        <w:rPr>
          <w:rFonts w:eastAsia="Calibri" w:cs="Arial"/>
        </w:rPr>
        <w:t>This week, the House Ways and Means Committee adopted the House Republican’s budget amendment, which included accelerated tax cuts, increased education spending, new investments in healthcare, and new funds for economic development projects. After a few amendments on the House floor, the budget passed the House on 3</w:t>
      </w:r>
      <w:r w:rsidRPr="00615A09">
        <w:rPr>
          <w:rFonts w:eastAsia="Calibri" w:cs="Arial"/>
          <w:vertAlign w:val="superscript"/>
        </w:rPr>
        <w:t>rd</w:t>
      </w:r>
      <w:r w:rsidRPr="00615A09">
        <w:rPr>
          <w:rFonts w:eastAsia="Calibri" w:cs="Arial"/>
        </w:rPr>
        <w:t xml:space="preserve"> reading with a party line vote and now goes to the Senate for further consideration in the second half of session. </w:t>
      </w:r>
    </w:p>
    <w:p w14:paraId="17C1AF4D" w14:textId="77777777" w:rsidR="00615A09" w:rsidRPr="00615A09" w:rsidRDefault="00615A09" w:rsidP="00615A09">
      <w:pPr>
        <w:rPr>
          <w:rFonts w:eastAsia="Calibri" w:cs="Arial"/>
        </w:rPr>
      </w:pPr>
      <w:r w:rsidRPr="00615A09">
        <w:rPr>
          <w:rFonts w:eastAsia="Calibri" w:cs="Arial"/>
        </w:rPr>
        <w:t> </w:t>
      </w:r>
    </w:p>
    <w:p w14:paraId="7C6ED1F2" w14:textId="77777777" w:rsidR="00615A09" w:rsidRPr="00615A09" w:rsidRDefault="00615A09" w:rsidP="00615A09">
      <w:pPr>
        <w:rPr>
          <w:rFonts w:eastAsia="Calibri" w:cs="Arial"/>
        </w:rPr>
      </w:pPr>
      <w:r w:rsidRPr="00615A09">
        <w:rPr>
          <w:rFonts w:eastAsia="Calibri" w:cs="Arial"/>
        </w:rPr>
        <w:t>Next week, the House has its 3</w:t>
      </w:r>
      <w:r w:rsidRPr="00615A09">
        <w:rPr>
          <w:rFonts w:eastAsia="Calibri" w:cs="Arial"/>
          <w:vertAlign w:val="superscript"/>
        </w:rPr>
        <w:t>rd</w:t>
      </w:r>
      <w:r w:rsidRPr="00615A09">
        <w:rPr>
          <w:rFonts w:eastAsia="Calibri" w:cs="Arial"/>
        </w:rPr>
        <w:t xml:space="preserve"> reading deadline on Monday and the Senate has its deadline on Tuesday. Any bills that have failed to advance through 3rd reading in their originating chamber by those dates will no longer be eligible for consideration. </w:t>
      </w:r>
    </w:p>
    <w:p w14:paraId="64BEE90D" w14:textId="0AFF954E" w:rsidR="00392715" w:rsidRDefault="00392715" w:rsidP="00607455"/>
    <w:p w14:paraId="0A0F954D" w14:textId="2F85D759" w:rsidR="00392715" w:rsidRPr="00392715" w:rsidRDefault="00392715" w:rsidP="00607455">
      <w:pPr>
        <w:rPr>
          <w:rFonts w:cs="Calibri"/>
          <w:b/>
          <w:bCs/>
          <w:sz w:val="32"/>
          <w:szCs w:val="32"/>
        </w:rPr>
      </w:pPr>
      <w:r w:rsidRPr="00392715">
        <w:rPr>
          <w:b/>
          <w:bCs/>
          <w:sz w:val="32"/>
          <w:szCs w:val="32"/>
          <w:u w:val="single"/>
        </w:rPr>
        <w:t>Bills being watching that had bill actions this week</w:t>
      </w:r>
      <w:r w:rsidRPr="00392715">
        <w:rPr>
          <w:b/>
          <w:bCs/>
          <w:sz w:val="32"/>
          <w:szCs w:val="32"/>
        </w:rPr>
        <w:t xml:space="preserve">: </w:t>
      </w:r>
    </w:p>
    <w:p w14:paraId="1923C8D9" w14:textId="77777777" w:rsidR="00AC03D1" w:rsidRPr="00AC03D1" w:rsidRDefault="00AC03D1" w:rsidP="00AC03D1"/>
    <w:bookmarkEnd w:id="1"/>
    <w:p w14:paraId="5823F26A" w14:textId="77777777" w:rsidR="00030549" w:rsidRDefault="00030549" w:rsidP="00912B52">
      <w:pPr>
        <w:pBdr>
          <w:bottom w:val="single" w:sz="4" w:space="1" w:color="auto"/>
        </w:pBdr>
        <w:spacing w:after="120"/>
        <w:rPr>
          <w:rFonts w:asciiTheme="minorHAnsi" w:eastAsia="Times New Roman" w:hAnsiTheme="minorHAnsi" w:cstheme="minorHAnsi"/>
          <w:b/>
          <w:bCs/>
          <w:color w:val="0070C0"/>
          <w:sz w:val="32"/>
          <w:szCs w:val="32"/>
          <w:u w:val="single"/>
        </w:rPr>
      </w:pPr>
      <w:r>
        <w:rPr>
          <w:rFonts w:asciiTheme="minorHAnsi" w:eastAsia="Times New Roman" w:hAnsiTheme="minorHAnsi" w:cstheme="minorHAnsi"/>
          <w:b/>
          <w:bCs/>
          <w:color w:val="0070C0"/>
          <w:sz w:val="32"/>
          <w:szCs w:val="32"/>
          <w:u w:val="single"/>
        </w:rPr>
        <w:t>BUDGET</w:t>
      </w:r>
    </w:p>
    <w:tbl>
      <w:tblPr>
        <w:tblW w:w="5000" w:type="pct"/>
        <w:tblCellSpacing w:w="15" w:type="dxa"/>
        <w:tblCellMar>
          <w:left w:w="0" w:type="dxa"/>
          <w:right w:w="0" w:type="dxa"/>
        </w:tblCellMar>
        <w:tblLook w:val="04A0" w:firstRow="1" w:lastRow="0" w:firstColumn="1" w:lastColumn="0" w:noHBand="0" w:noVBand="1"/>
      </w:tblPr>
      <w:tblGrid>
        <w:gridCol w:w="1359"/>
        <w:gridCol w:w="2556"/>
        <w:gridCol w:w="6309"/>
      </w:tblGrid>
      <w:tr w:rsidR="00030549" w:rsidRPr="00030549" w14:paraId="39400B37" w14:textId="77777777" w:rsidTr="006C2CC7">
        <w:trPr>
          <w:tblCellSpacing w:w="15" w:type="dxa"/>
        </w:trPr>
        <w:tc>
          <w:tcPr>
            <w:tcW w:w="650" w:type="pct"/>
            <w:hideMark/>
          </w:tcPr>
          <w:p w14:paraId="311CC210" w14:textId="77777777" w:rsidR="00030549" w:rsidRPr="00030549" w:rsidRDefault="00030549" w:rsidP="00030549">
            <w:pPr>
              <w:rPr>
                <w:rFonts w:ascii="Tahoma" w:eastAsia="Times New Roman" w:hAnsi="Tahoma" w:cs="Tahoma"/>
                <w:sz w:val="20"/>
                <w:szCs w:val="20"/>
              </w:rPr>
            </w:pPr>
            <w:r w:rsidRPr="00030549">
              <w:rPr>
                <w:rFonts w:ascii="Tahoma" w:eastAsia="Times New Roman" w:hAnsi="Tahoma" w:cs="Tahoma"/>
                <w:b/>
                <w:bCs/>
                <w:sz w:val="20"/>
                <w:szCs w:val="20"/>
              </w:rPr>
              <w:t>HB1001</w:t>
            </w:r>
          </w:p>
        </w:tc>
        <w:tc>
          <w:tcPr>
            <w:tcW w:w="0" w:type="auto"/>
            <w:gridSpan w:val="2"/>
            <w:vAlign w:val="center"/>
            <w:hideMark/>
          </w:tcPr>
          <w:p w14:paraId="374DA858" w14:textId="77777777" w:rsidR="00030549" w:rsidRPr="00030549" w:rsidRDefault="00030549" w:rsidP="00030549">
            <w:pPr>
              <w:rPr>
                <w:rFonts w:ascii="Tahoma" w:eastAsia="Times New Roman" w:hAnsi="Tahoma" w:cs="Tahoma"/>
                <w:sz w:val="20"/>
                <w:szCs w:val="20"/>
              </w:rPr>
            </w:pPr>
            <w:r w:rsidRPr="00030549">
              <w:rPr>
                <w:rFonts w:ascii="Tahoma" w:eastAsia="Times New Roman" w:hAnsi="Tahoma" w:cs="Tahoma"/>
                <w:b/>
                <w:bCs/>
                <w:sz w:val="20"/>
                <w:szCs w:val="20"/>
              </w:rPr>
              <w:t>STATE BUDGET</w:t>
            </w:r>
            <w:r w:rsidRPr="00030549">
              <w:rPr>
                <w:rFonts w:ascii="Tahoma" w:eastAsia="Times New Roman" w:hAnsi="Tahoma" w:cs="Tahoma"/>
                <w:sz w:val="20"/>
                <w:szCs w:val="20"/>
              </w:rPr>
              <w:t xml:space="preserve"> (THOMPSON J) Appropriates money for capital expenditures, the operation of the state, K-12 and higher education, the delivery of Medicaid and other services, and various other distributions and purposes. Provides that the auditor of state is also known as the state comptroller. Provides that, after June 30, 2023, the auditor of state shall use the title "state comptroller" in conducting state business, in all contracts, on business cards, on stationery, and with other means of communication as necessary. Establishes the opioid settlement fund into which funds received from opioid litigation settlements must be deposited. Allows the budget committee to submit the budget report and budget bill or bills to the governor on or before the second Monday of January, or the third Monday of January in the year in which a gubernatorial election is held (instead of before that date). Requires the state personnel department to require a contractor, when contracting for health care coverage for state employees, to use </w:t>
            </w:r>
            <w:proofErr w:type="gramStart"/>
            <w:r w:rsidRPr="00030549">
              <w:rPr>
                <w:rFonts w:ascii="Tahoma" w:eastAsia="Times New Roman" w:hAnsi="Tahoma" w:cs="Tahoma"/>
                <w:sz w:val="20"/>
                <w:szCs w:val="20"/>
              </w:rPr>
              <w:t>value based</w:t>
            </w:r>
            <w:proofErr w:type="gramEnd"/>
            <w:r w:rsidRPr="00030549">
              <w:rPr>
                <w:rFonts w:ascii="Tahoma" w:eastAsia="Times New Roman" w:hAnsi="Tahoma" w:cs="Tahoma"/>
                <w:sz w:val="20"/>
                <w:szCs w:val="20"/>
              </w:rPr>
              <w:t xml:space="preserve"> coverage. Allows the Indiana economic development corporation to certify an applicable tax credit that exceeds the maximum allowable amount after review by the budget committee. Provides that specified expenses are eligible to be funded by the fund established under the regional economic acceleration and development initiative (</w:t>
            </w:r>
            <w:proofErr w:type="spellStart"/>
            <w:r w:rsidRPr="00030549">
              <w:rPr>
                <w:rFonts w:ascii="Tahoma" w:eastAsia="Times New Roman" w:hAnsi="Tahoma" w:cs="Tahoma"/>
                <w:sz w:val="20"/>
                <w:szCs w:val="20"/>
              </w:rPr>
              <w:t>READI</w:t>
            </w:r>
            <w:proofErr w:type="spellEnd"/>
            <w:r w:rsidRPr="00030549">
              <w:rPr>
                <w:rFonts w:ascii="Tahoma" w:eastAsia="Times New Roman" w:hAnsi="Tahoma" w:cs="Tahoma"/>
                <w:sz w:val="20"/>
                <w:szCs w:val="20"/>
              </w:rPr>
              <w:t xml:space="preserve">). Provides that the </w:t>
            </w:r>
            <w:proofErr w:type="spellStart"/>
            <w:r w:rsidRPr="00030549">
              <w:rPr>
                <w:rFonts w:ascii="Tahoma" w:eastAsia="Times New Roman" w:hAnsi="Tahoma" w:cs="Tahoma"/>
                <w:sz w:val="20"/>
                <w:szCs w:val="20"/>
              </w:rPr>
              <w:t>READI</w:t>
            </w:r>
            <w:proofErr w:type="spellEnd"/>
            <w:r w:rsidRPr="00030549">
              <w:rPr>
                <w:rFonts w:ascii="Tahoma" w:eastAsia="Times New Roman" w:hAnsi="Tahoma" w:cs="Tahoma"/>
                <w:sz w:val="20"/>
                <w:szCs w:val="20"/>
              </w:rPr>
              <w:t xml:space="preserve"> program expires on June 30, 2026. Allows an individual to claim an increased exemption amount for a dependent child in the first year in which the exemption amount may be claimed for the child. Reduces the individual income tax rate to 2.9% by 2026 and eliminates all trigger provisions in current law. Allows a county fiscal body to impose a tax rate on the adjusted gross income of local taxpayers in the county for public health purposes. Establishes the regional public safety training fund. Repeals provisions relating to the establishment of the: (1) Indiana homeland security foundation; (2) Indiana homeland security fund; and (3) fire training infrastructure fund. Allows certain members of the public employees' retirement fund or Indiana state teachers' retirement fund to file an election to begin receiving retirement benefits while holding a position. Changes the state police pre-1987 benefit and supplemental pension benefit calculation from being based on the sixth year of service to the fourth year of service. Repeals the public mass transportation fund. Repeals the </w:t>
            </w:r>
            <w:r w:rsidRPr="00030549">
              <w:rPr>
                <w:rFonts w:ascii="Tahoma" w:eastAsia="Times New Roman" w:hAnsi="Tahoma" w:cs="Tahoma"/>
                <w:sz w:val="20"/>
                <w:szCs w:val="20"/>
              </w:rPr>
              <w:lastRenderedPageBreak/>
              <w:t xml:space="preserve">financial responsibility compliance verification fund. Changes the number of years of service on which the salary matrix for state police employees is based to 15 years (instead of 20 years). Requires the department of correction to deposit the amount appropriated for the county misdemeanant fund by a county's multiplier. Requires the office of Medicaid policy and planning (office) to: (1) develop a schedule for the review of Medicaid reimbursement rates; and (2) provide a copy of the schedule to the budget committee; not later than November 1, 2023. Increases the maximum amount of a grant made under the prekindergarten pilot program. Establishes the commission on improving the status of children fund to support the staffing and operations of the commission. Provides that a part of state user fees shall be deposited in the Indiana secured school fund. Repeals the distribution schedule for appropriations made for certain child development programs. Deletes reimbursement rate parameters for reimbursement of managed care organizations under the healthy Indiana plan. Extends the sunset of the collection of hospital assessment fees and health facility quality assessment fees from June 30, 2023, to June 30, 2025. Increases the total number of adult learner students at the Excel Centers for Adult Learners and Christel House </w:t>
            </w:r>
            <w:proofErr w:type="spellStart"/>
            <w:r w:rsidRPr="00030549">
              <w:rPr>
                <w:rFonts w:ascii="Tahoma" w:eastAsia="Times New Roman" w:hAnsi="Tahoma" w:cs="Tahoma"/>
                <w:sz w:val="20"/>
                <w:szCs w:val="20"/>
              </w:rPr>
              <w:t>DORS</w:t>
            </w:r>
            <w:proofErr w:type="spellEnd"/>
            <w:r w:rsidRPr="00030549">
              <w:rPr>
                <w:rFonts w:ascii="Tahoma" w:eastAsia="Times New Roman" w:hAnsi="Tahoma" w:cs="Tahoma"/>
                <w:sz w:val="20"/>
                <w:szCs w:val="20"/>
              </w:rPr>
              <w:t xml:space="preserve"> centers for whom the school may receive state funding. Provides that the parent of a student or an emancipated minor who attends an accredited nonpublic school and who meets financial eligibility requirements may request reimbursement of fees charged for curricular materials. Prohibits school corporations and charter schools from charging a fee for curricular materials to students. Repeals the charter and innovation network school grant program. Establishes the innovation network school grant program. Establishes the Indiana education scholarship account donation fund to accept donations for administration of the Indiana education scholarship account program. Repeals the special education fund. Establishes the </w:t>
            </w:r>
            <w:proofErr w:type="gramStart"/>
            <w:r w:rsidRPr="00030549">
              <w:rPr>
                <w:rFonts w:ascii="Tahoma" w:eastAsia="Times New Roman" w:hAnsi="Tahoma" w:cs="Tahoma"/>
                <w:sz w:val="20"/>
                <w:szCs w:val="20"/>
              </w:rPr>
              <w:t>outcomes based</w:t>
            </w:r>
            <w:proofErr w:type="gramEnd"/>
            <w:r w:rsidRPr="00030549">
              <w:rPr>
                <w:rFonts w:ascii="Tahoma" w:eastAsia="Times New Roman" w:hAnsi="Tahoma" w:cs="Tahoma"/>
                <w:sz w:val="20"/>
                <w:szCs w:val="20"/>
              </w:rPr>
              <w:t xml:space="preserve"> formula fund from which the commission for higher education may annually request distributions from the outcomes based formula fund for each state educational institution. Provides that state user fees remaining after required distributions shall be distributed to the state general fund (instead of the court technology fund). Makes certain amendments to the juvenile diversion grant program, the juvenile community alternatives grant program, and the juvenile behavioral health competitive grant pilot program (programs). Requires grants for the programs to be administered by the Indiana criminal justice institute in consultation with the juvenile justice oversight committee (oversight committee) and the grant process workgroup created by the oversight committee, taking into consideration the grant program report prepared and submitted to the commission on improving the status of children in Indiana by the oversight committee. Requires the state comptroller to deposit distributions of pro bono legal services fees received from the: (1) clerk of a circuit court; (2) clerk of a city or town court; or (3) Marion County small claims court; in the pro bono legal services fund. Provides that unexpended and unencumbered amounts appropriated to the legislative services agency in a state fiscal year ending before July 1, 2024, do not revert to the state general fund. Extends the judicial and legislative branch leave conversion pilot program through June 30, 2025. Provides for the calculation of salary increases for the governor and state elected officials. Provides for the calculation of salary increases for court officers. Requires the state comptroller to transfer $80,000,000 from the tobacco master settlement agreement fund to the state construction fund on July 1, 2023. Provides that unexpended and unencumbered amounts appropriated from the federal economic stimulus fund in the state fiscal year ending before July 1, 2023, do not revert to the state general fund. Appropriates money for various purposes for the state fiscal year ending June 30, 2023. Provides that a certain amount of property tax revenue distributed to a school corporation's operations fund must be determined without regard to the property tax caps. Provides that the corresponding reduction in tax revenue to other political subdivisions must be allocated proportionately. Establishes phased-in maximum tax rates that apply to certain school corporations. Requires the state comptroller to distribute a grant amount to schools based on a targeted amount of funding and the net collected revenue the school received from its operations fund levy in the previous calendar year. Establishes the credential completion grant. Removes pathways for choice scholarship eligibility. Increases the annual income maximum for choice scholarship eligibility. Provides that a school corporation is eligible for an academic performance grant. Defines "base student </w:t>
            </w:r>
            <w:proofErr w:type="spellStart"/>
            <w:r w:rsidRPr="00030549">
              <w:rPr>
                <w:rFonts w:ascii="Tahoma" w:eastAsia="Times New Roman" w:hAnsi="Tahoma" w:cs="Tahoma"/>
                <w:sz w:val="20"/>
                <w:szCs w:val="20"/>
              </w:rPr>
              <w:t>fundin</w:t>
            </w:r>
            <w:proofErr w:type="spellEnd"/>
          </w:p>
        </w:tc>
      </w:tr>
      <w:tr w:rsidR="00030549" w:rsidRPr="00030549" w14:paraId="66E31939" w14:textId="77777777" w:rsidTr="006C2CC7">
        <w:trPr>
          <w:tblCellSpacing w:w="15" w:type="dxa"/>
        </w:trPr>
        <w:tc>
          <w:tcPr>
            <w:tcW w:w="0" w:type="auto"/>
            <w:vAlign w:val="center"/>
            <w:hideMark/>
          </w:tcPr>
          <w:p w14:paraId="68FB0F40" w14:textId="77777777" w:rsidR="00030549" w:rsidRPr="00030549" w:rsidRDefault="00030549" w:rsidP="00030549">
            <w:pPr>
              <w:rPr>
                <w:rFonts w:ascii="Tahoma" w:eastAsia="Times New Roman" w:hAnsi="Tahoma" w:cs="Tahoma"/>
                <w:sz w:val="20"/>
                <w:szCs w:val="20"/>
              </w:rPr>
            </w:pPr>
            <w:r w:rsidRPr="00030549">
              <w:rPr>
                <w:rFonts w:ascii="Tahoma" w:eastAsia="Times New Roman" w:hAnsi="Tahoma" w:cs="Tahoma"/>
                <w:sz w:val="20"/>
                <w:szCs w:val="20"/>
              </w:rPr>
              <w:lastRenderedPageBreak/>
              <w:t> </w:t>
            </w:r>
          </w:p>
        </w:tc>
        <w:tc>
          <w:tcPr>
            <w:tcW w:w="1250" w:type="pct"/>
            <w:hideMark/>
          </w:tcPr>
          <w:p w14:paraId="0284F507" w14:textId="77777777" w:rsidR="00030549" w:rsidRPr="00030549" w:rsidRDefault="00030549" w:rsidP="00030549">
            <w:pPr>
              <w:jc w:val="right"/>
              <w:rPr>
                <w:rFonts w:ascii="Tahoma" w:eastAsia="Times New Roman" w:hAnsi="Tahoma" w:cs="Tahoma"/>
                <w:sz w:val="18"/>
                <w:szCs w:val="18"/>
              </w:rPr>
            </w:pPr>
            <w:r w:rsidRPr="00030549">
              <w:rPr>
                <w:rFonts w:ascii="Tahoma" w:eastAsia="Times New Roman" w:hAnsi="Tahoma" w:cs="Tahoma"/>
                <w:b/>
                <w:bCs/>
                <w:i/>
                <w:iCs/>
                <w:sz w:val="18"/>
                <w:szCs w:val="18"/>
              </w:rPr>
              <w:t>Current Status:   </w:t>
            </w:r>
          </w:p>
        </w:tc>
        <w:tc>
          <w:tcPr>
            <w:tcW w:w="0" w:type="auto"/>
            <w:vAlign w:val="center"/>
            <w:hideMark/>
          </w:tcPr>
          <w:p w14:paraId="41B8BACD" w14:textId="77777777" w:rsidR="00030549" w:rsidRPr="00030549" w:rsidRDefault="00030549" w:rsidP="00030549">
            <w:pPr>
              <w:rPr>
                <w:rFonts w:ascii="Tahoma" w:eastAsia="Times New Roman" w:hAnsi="Tahoma" w:cs="Tahoma"/>
                <w:sz w:val="20"/>
                <w:szCs w:val="20"/>
              </w:rPr>
            </w:pPr>
            <w:r w:rsidRPr="00030549">
              <w:rPr>
                <w:rFonts w:ascii="Tahoma" w:eastAsia="Times New Roman" w:hAnsi="Tahoma" w:cs="Tahoma"/>
                <w:sz w:val="20"/>
                <w:szCs w:val="20"/>
              </w:rPr>
              <w:t>2/23/2023 - Senate sponsors: Senators Mishler and Garten</w:t>
            </w:r>
          </w:p>
        </w:tc>
      </w:tr>
      <w:tr w:rsidR="00030549" w:rsidRPr="00030549" w14:paraId="54E8CFA6" w14:textId="77777777" w:rsidTr="006C2CC7">
        <w:trPr>
          <w:tblCellSpacing w:w="15" w:type="dxa"/>
        </w:trPr>
        <w:tc>
          <w:tcPr>
            <w:tcW w:w="0" w:type="auto"/>
            <w:vAlign w:val="center"/>
            <w:hideMark/>
          </w:tcPr>
          <w:p w14:paraId="314B8CE1" w14:textId="77777777" w:rsidR="00030549" w:rsidRPr="00030549" w:rsidRDefault="00030549" w:rsidP="00030549">
            <w:pPr>
              <w:rPr>
                <w:rFonts w:ascii="Tahoma" w:eastAsia="Times New Roman" w:hAnsi="Tahoma" w:cs="Tahoma"/>
                <w:sz w:val="20"/>
                <w:szCs w:val="20"/>
              </w:rPr>
            </w:pPr>
            <w:r w:rsidRPr="00030549">
              <w:rPr>
                <w:rFonts w:ascii="Tahoma" w:eastAsia="Times New Roman" w:hAnsi="Tahoma" w:cs="Tahoma"/>
                <w:sz w:val="20"/>
                <w:szCs w:val="20"/>
              </w:rPr>
              <w:t> </w:t>
            </w:r>
          </w:p>
        </w:tc>
        <w:tc>
          <w:tcPr>
            <w:tcW w:w="1250" w:type="pct"/>
            <w:hideMark/>
          </w:tcPr>
          <w:p w14:paraId="3A68602A" w14:textId="77777777" w:rsidR="00030549" w:rsidRPr="00030549" w:rsidRDefault="00030549" w:rsidP="00030549">
            <w:pPr>
              <w:jc w:val="right"/>
              <w:rPr>
                <w:rFonts w:ascii="Tahoma" w:eastAsia="Times New Roman" w:hAnsi="Tahoma" w:cs="Tahoma"/>
                <w:sz w:val="18"/>
                <w:szCs w:val="18"/>
              </w:rPr>
            </w:pPr>
            <w:r w:rsidRPr="00030549">
              <w:rPr>
                <w:rFonts w:ascii="Tahoma" w:eastAsia="Times New Roman" w:hAnsi="Tahoma" w:cs="Tahoma"/>
                <w:b/>
                <w:bCs/>
                <w:i/>
                <w:iCs/>
                <w:sz w:val="18"/>
                <w:szCs w:val="18"/>
              </w:rPr>
              <w:t>All Bill Status:   </w:t>
            </w:r>
          </w:p>
        </w:tc>
        <w:tc>
          <w:tcPr>
            <w:tcW w:w="0" w:type="auto"/>
            <w:vAlign w:val="center"/>
            <w:hideMark/>
          </w:tcPr>
          <w:p w14:paraId="513E0F96" w14:textId="77777777" w:rsidR="00030549" w:rsidRPr="00030549" w:rsidRDefault="00030549" w:rsidP="00030549">
            <w:pPr>
              <w:rPr>
                <w:rFonts w:ascii="Tahoma" w:eastAsia="Times New Roman" w:hAnsi="Tahoma" w:cs="Tahoma"/>
                <w:sz w:val="20"/>
                <w:szCs w:val="20"/>
              </w:rPr>
            </w:pPr>
            <w:r w:rsidRPr="00030549">
              <w:rPr>
                <w:rFonts w:ascii="Tahoma" w:eastAsia="Times New Roman" w:hAnsi="Tahoma" w:cs="Tahoma"/>
                <w:sz w:val="20"/>
                <w:szCs w:val="20"/>
              </w:rPr>
              <w:t>2/23/2023 - Third reading passed; Roll Call 234: yeas 66, nays 29</w:t>
            </w:r>
            <w:r w:rsidRPr="00030549">
              <w:rPr>
                <w:rFonts w:ascii="Tahoma" w:eastAsia="Times New Roman" w:hAnsi="Tahoma" w:cs="Tahoma"/>
                <w:sz w:val="20"/>
                <w:szCs w:val="20"/>
              </w:rPr>
              <w:br/>
              <w:t>2/23/2023 - House Bills on Third Reading</w:t>
            </w:r>
            <w:r w:rsidRPr="00030549">
              <w:rPr>
                <w:rFonts w:ascii="Tahoma" w:eastAsia="Times New Roman" w:hAnsi="Tahoma" w:cs="Tahoma"/>
                <w:sz w:val="20"/>
                <w:szCs w:val="20"/>
              </w:rPr>
              <w:br/>
              <w:t>2/22/2023 - Second reading amended, ordered engrossed</w:t>
            </w:r>
            <w:r w:rsidRPr="00030549">
              <w:rPr>
                <w:rFonts w:ascii="Tahoma" w:eastAsia="Times New Roman" w:hAnsi="Tahoma" w:cs="Tahoma"/>
                <w:sz w:val="20"/>
                <w:szCs w:val="20"/>
              </w:rPr>
              <w:br/>
              <w:t>2/22/2023 - Amendment #11 (</w:t>
            </w:r>
            <w:proofErr w:type="spellStart"/>
            <w:r w:rsidRPr="00030549">
              <w:rPr>
                <w:rFonts w:ascii="Tahoma" w:eastAsia="Times New Roman" w:hAnsi="Tahoma" w:cs="Tahoma"/>
                <w:sz w:val="20"/>
                <w:szCs w:val="20"/>
              </w:rPr>
              <w:t>GiaQuinta</w:t>
            </w:r>
            <w:proofErr w:type="spellEnd"/>
            <w:r w:rsidRPr="00030549">
              <w:rPr>
                <w:rFonts w:ascii="Tahoma" w:eastAsia="Times New Roman" w:hAnsi="Tahoma" w:cs="Tahoma"/>
                <w:sz w:val="20"/>
                <w:szCs w:val="20"/>
              </w:rPr>
              <w:t xml:space="preserve">) failed; Roll Call 205: yeas </w:t>
            </w:r>
            <w:r w:rsidRPr="00030549">
              <w:rPr>
                <w:rFonts w:ascii="Tahoma" w:eastAsia="Times New Roman" w:hAnsi="Tahoma" w:cs="Tahoma"/>
                <w:sz w:val="20"/>
                <w:szCs w:val="20"/>
              </w:rPr>
              <w:lastRenderedPageBreak/>
              <w:t>26, nays 61</w:t>
            </w:r>
            <w:r w:rsidRPr="00030549">
              <w:rPr>
                <w:rFonts w:ascii="Tahoma" w:eastAsia="Times New Roman" w:hAnsi="Tahoma" w:cs="Tahoma"/>
                <w:sz w:val="20"/>
                <w:szCs w:val="20"/>
              </w:rPr>
              <w:br/>
              <w:t>2/22/2023 - Amendment #16 (DeLaney) ruled out of order</w:t>
            </w:r>
            <w:r w:rsidRPr="00030549">
              <w:rPr>
                <w:rFonts w:ascii="Tahoma" w:eastAsia="Times New Roman" w:hAnsi="Tahoma" w:cs="Tahoma"/>
                <w:sz w:val="20"/>
                <w:szCs w:val="20"/>
              </w:rPr>
              <w:br/>
              <w:t>2/22/2023 - Amendment #12 (Hamilton) prevailed; voice vote</w:t>
            </w:r>
            <w:r w:rsidRPr="00030549">
              <w:rPr>
                <w:rFonts w:ascii="Tahoma" w:eastAsia="Times New Roman" w:hAnsi="Tahoma" w:cs="Tahoma"/>
                <w:sz w:val="20"/>
                <w:szCs w:val="20"/>
              </w:rPr>
              <w:br/>
              <w:t>2/22/2023 - Amendment #13 (Pryor) prevailed; voice vote</w:t>
            </w:r>
            <w:r w:rsidRPr="00030549">
              <w:rPr>
                <w:rFonts w:ascii="Tahoma" w:eastAsia="Times New Roman" w:hAnsi="Tahoma" w:cs="Tahoma"/>
                <w:sz w:val="20"/>
                <w:szCs w:val="20"/>
              </w:rPr>
              <w:br/>
              <w:t>2/22/2023 - Amendment #2 (Sweet) prevailed; Roll Call 204: yeas 53, nays 34</w:t>
            </w:r>
            <w:r w:rsidRPr="00030549">
              <w:rPr>
                <w:rFonts w:ascii="Tahoma" w:eastAsia="Times New Roman" w:hAnsi="Tahoma" w:cs="Tahoma"/>
                <w:sz w:val="20"/>
                <w:szCs w:val="20"/>
              </w:rPr>
              <w:br/>
              <w:t>2/22/2023 - Amendment #14 (Porter) failed; Roll Call 203: yeas 28, nays 62</w:t>
            </w:r>
            <w:r w:rsidRPr="00030549">
              <w:rPr>
                <w:rFonts w:ascii="Tahoma" w:eastAsia="Times New Roman" w:hAnsi="Tahoma" w:cs="Tahoma"/>
                <w:sz w:val="20"/>
                <w:szCs w:val="20"/>
              </w:rPr>
              <w:br/>
              <w:t>2/22/2023 - Amendment #14 (Porter) failed;</w:t>
            </w:r>
            <w:r w:rsidRPr="00030549">
              <w:rPr>
                <w:rFonts w:ascii="Tahoma" w:eastAsia="Times New Roman" w:hAnsi="Tahoma" w:cs="Tahoma"/>
                <w:sz w:val="20"/>
                <w:szCs w:val="20"/>
              </w:rPr>
              <w:br/>
              <w:t>2/22/2023 - Amendment #3 (Thompson) prevailed; voice vote</w:t>
            </w:r>
            <w:r w:rsidRPr="00030549">
              <w:rPr>
                <w:rFonts w:ascii="Tahoma" w:eastAsia="Times New Roman" w:hAnsi="Tahoma" w:cs="Tahoma"/>
                <w:sz w:val="20"/>
                <w:szCs w:val="20"/>
              </w:rPr>
              <w:br/>
              <w:t>2/22/2023 - House Bills on Second Reading</w:t>
            </w:r>
            <w:r w:rsidRPr="00030549">
              <w:rPr>
                <w:rFonts w:ascii="Tahoma" w:eastAsia="Times New Roman" w:hAnsi="Tahoma" w:cs="Tahoma"/>
                <w:sz w:val="20"/>
                <w:szCs w:val="20"/>
              </w:rPr>
              <w:br/>
              <w:t>2/20/2023 - Committee Report amend do pass, adopted</w:t>
            </w:r>
            <w:r w:rsidRPr="00030549">
              <w:rPr>
                <w:rFonts w:ascii="Tahoma" w:eastAsia="Times New Roman" w:hAnsi="Tahoma" w:cs="Tahoma"/>
                <w:sz w:val="20"/>
                <w:szCs w:val="20"/>
              </w:rPr>
              <w:br/>
              <w:t>2/20/2023 - House Committee recommends passage, as amended Yeas: 14; Nays: 5</w:t>
            </w:r>
            <w:r w:rsidRPr="00030549">
              <w:rPr>
                <w:rFonts w:ascii="Tahoma" w:eastAsia="Times New Roman" w:hAnsi="Tahoma" w:cs="Tahoma"/>
                <w:sz w:val="20"/>
                <w:szCs w:val="20"/>
              </w:rPr>
              <w:br/>
              <w:t>2/20/2023 - House Ways and Means, (Bill Scheduled for Hearing)</w:t>
            </w:r>
            <w:r w:rsidRPr="00030549">
              <w:rPr>
                <w:rFonts w:ascii="Tahoma" w:eastAsia="Times New Roman" w:hAnsi="Tahoma" w:cs="Tahoma"/>
                <w:sz w:val="20"/>
                <w:szCs w:val="20"/>
              </w:rPr>
              <w:br/>
              <w:t>2/9/2023 - House Ways and Means, (Bill Scheduled for Hearing)</w:t>
            </w:r>
            <w:r w:rsidRPr="00030549">
              <w:rPr>
                <w:rFonts w:ascii="Tahoma" w:eastAsia="Times New Roman" w:hAnsi="Tahoma" w:cs="Tahoma"/>
                <w:sz w:val="20"/>
                <w:szCs w:val="20"/>
              </w:rPr>
              <w:br/>
              <w:t>1/12/2023 - Referred to House Ways and Means</w:t>
            </w:r>
            <w:r w:rsidRPr="00030549">
              <w:rPr>
                <w:rFonts w:ascii="Tahoma" w:eastAsia="Times New Roman" w:hAnsi="Tahoma" w:cs="Tahoma"/>
                <w:sz w:val="20"/>
                <w:szCs w:val="20"/>
              </w:rPr>
              <w:br/>
              <w:t>1/12/2023 - First Reading</w:t>
            </w:r>
            <w:r w:rsidRPr="00030549">
              <w:rPr>
                <w:rFonts w:ascii="Tahoma" w:eastAsia="Times New Roman" w:hAnsi="Tahoma" w:cs="Tahoma"/>
                <w:sz w:val="20"/>
                <w:szCs w:val="20"/>
              </w:rPr>
              <w:br/>
              <w:t>1/12/2023 - Coauthored by Representatives Porter and Cherry</w:t>
            </w:r>
            <w:r w:rsidRPr="00030549">
              <w:rPr>
                <w:rFonts w:ascii="Tahoma" w:eastAsia="Times New Roman" w:hAnsi="Tahoma" w:cs="Tahoma"/>
                <w:sz w:val="20"/>
                <w:szCs w:val="20"/>
              </w:rPr>
              <w:br/>
              <w:t>1/12/2023 - Authored By Jeffrey Thompson</w:t>
            </w:r>
          </w:p>
        </w:tc>
      </w:tr>
      <w:tr w:rsidR="00030549" w:rsidRPr="00030549" w14:paraId="076FB70F" w14:textId="77777777" w:rsidTr="006C2CC7">
        <w:trPr>
          <w:tblCellSpacing w:w="15" w:type="dxa"/>
        </w:trPr>
        <w:tc>
          <w:tcPr>
            <w:tcW w:w="0" w:type="auto"/>
            <w:vAlign w:val="center"/>
            <w:hideMark/>
          </w:tcPr>
          <w:p w14:paraId="0272EB33" w14:textId="77777777" w:rsidR="00030549" w:rsidRPr="00030549" w:rsidRDefault="00030549" w:rsidP="00030549">
            <w:pPr>
              <w:rPr>
                <w:rFonts w:ascii="Tahoma" w:eastAsia="Times New Roman" w:hAnsi="Tahoma" w:cs="Tahoma"/>
                <w:sz w:val="20"/>
                <w:szCs w:val="20"/>
              </w:rPr>
            </w:pPr>
            <w:r w:rsidRPr="00030549">
              <w:rPr>
                <w:rFonts w:ascii="Tahoma" w:eastAsia="Times New Roman" w:hAnsi="Tahoma" w:cs="Tahoma"/>
                <w:sz w:val="20"/>
                <w:szCs w:val="20"/>
              </w:rPr>
              <w:lastRenderedPageBreak/>
              <w:t> </w:t>
            </w:r>
          </w:p>
        </w:tc>
        <w:tc>
          <w:tcPr>
            <w:tcW w:w="1250" w:type="pct"/>
            <w:hideMark/>
          </w:tcPr>
          <w:p w14:paraId="0DB5B97B" w14:textId="77777777" w:rsidR="00030549" w:rsidRPr="00030549" w:rsidRDefault="00030549" w:rsidP="00030549">
            <w:pPr>
              <w:jc w:val="right"/>
              <w:rPr>
                <w:rFonts w:ascii="Tahoma" w:eastAsia="Times New Roman" w:hAnsi="Tahoma" w:cs="Tahoma"/>
                <w:sz w:val="18"/>
                <w:szCs w:val="18"/>
              </w:rPr>
            </w:pPr>
            <w:r w:rsidRPr="00030549">
              <w:rPr>
                <w:rFonts w:ascii="Tahoma" w:eastAsia="Times New Roman" w:hAnsi="Tahoma" w:cs="Tahoma"/>
                <w:b/>
                <w:bCs/>
                <w:i/>
                <w:iCs/>
                <w:sz w:val="18"/>
                <w:szCs w:val="18"/>
              </w:rPr>
              <w:t>State Bill Page:   </w:t>
            </w:r>
          </w:p>
        </w:tc>
        <w:tc>
          <w:tcPr>
            <w:tcW w:w="0" w:type="auto"/>
            <w:vAlign w:val="center"/>
            <w:hideMark/>
          </w:tcPr>
          <w:p w14:paraId="0F994EC6" w14:textId="77777777" w:rsidR="00030549" w:rsidRPr="00030549" w:rsidRDefault="00030549" w:rsidP="00030549">
            <w:pPr>
              <w:rPr>
                <w:rFonts w:ascii="Tahoma" w:eastAsia="Times New Roman" w:hAnsi="Tahoma" w:cs="Tahoma"/>
                <w:sz w:val="20"/>
                <w:szCs w:val="20"/>
              </w:rPr>
            </w:pPr>
            <w:hyperlink r:id="rId9" w:tgtFrame="_blank" w:history="1">
              <w:r w:rsidRPr="00030549">
                <w:rPr>
                  <w:rFonts w:ascii="Tahoma" w:eastAsia="Times New Roman" w:hAnsi="Tahoma" w:cs="Tahoma"/>
                  <w:color w:val="0000FF"/>
                  <w:sz w:val="20"/>
                  <w:szCs w:val="20"/>
                  <w:u w:val="single"/>
                </w:rPr>
                <w:t>HB1001</w:t>
              </w:r>
            </w:hyperlink>
          </w:p>
        </w:tc>
      </w:tr>
    </w:tbl>
    <w:p w14:paraId="060A795A" w14:textId="77777777" w:rsidR="00030549" w:rsidRDefault="00030549" w:rsidP="00912B52">
      <w:pPr>
        <w:pBdr>
          <w:bottom w:val="single" w:sz="4" w:space="1" w:color="auto"/>
        </w:pBdr>
        <w:spacing w:after="120"/>
        <w:rPr>
          <w:rFonts w:asciiTheme="minorHAnsi" w:eastAsia="Times New Roman" w:hAnsiTheme="minorHAnsi" w:cstheme="minorHAnsi"/>
          <w:b/>
          <w:bCs/>
          <w:color w:val="0070C0"/>
          <w:sz w:val="32"/>
          <w:szCs w:val="32"/>
          <w:u w:val="single"/>
        </w:rPr>
      </w:pPr>
    </w:p>
    <w:p w14:paraId="070EA7DD" w14:textId="778D06D2" w:rsidR="005C7EC5" w:rsidRPr="00392243" w:rsidRDefault="00FE51D5" w:rsidP="00392243">
      <w:pPr>
        <w:pBdr>
          <w:bottom w:val="single" w:sz="4" w:space="1" w:color="auto"/>
        </w:pBdr>
        <w:spacing w:after="120"/>
        <w:rPr>
          <w:rFonts w:asciiTheme="minorHAnsi" w:eastAsia="Times New Roman" w:hAnsiTheme="minorHAnsi" w:cstheme="minorHAnsi"/>
          <w:b/>
          <w:bCs/>
          <w:color w:val="0070C0"/>
          <w:sz w:val="32"/>
          <w:szCs w:val="32"/>
          <w:u w:val="single"/>
        </w:rPr>
      </w:pPr>
      <w:r w:rsidRPr="00EB37CB">
        <w:rPr>
          <w:rFonts w:asciiTheme="minorHAnsi" w:eastAsia="Times New Roman" w:hAnsiTheme="minorHAnsi" w:cstheme="minorHAnsi"/>
          <w:b/>
          <w:bCs/>
          <w:color w:val="0070C0"/>
          <w:sz w:val="32"/>
          <w:szCs w:val="32"/>
          <w:u w:val="single"/>
        </w:rPr>
        <w:t>TAXES</w:t>
      </w:r>
    </w:p>
    <w:tbl>
      <w:tblPr>
        <w:tblW w:w="5000" w:type="pct"/>
        <w:tblCellSpacing w:w="15" w:type="dxa"/>
        <w:tblCellMar>
          <w:left w:w="0" w:type="dxa"/>
          <w:right w:w="0" w:type="dxa"/>
        </w:tblCellMar>
        <w:tblLook w:val="04A0" w:firstRow="1" w:lastRow="0" w:firstColumn="1" w:lastColumn="0" w:noHBand="0" w:noVBand="1"/>
      </w:tblPr>
      <w:tblGrid>
        <w:gridCol w:w="1080"/>
        <w:gridCol w:w="168"/>
        <w:gridCol w:w="133"/>
        <w:gridCol w:w="1916"/>
        <w:gridCol w:w="304"/>
        <w:gridCol w:w="181"/>
        <w:gridCol w:w="5867"/>
        <w:gridCol w:w="522"/>
        <w:gridCol w:w="53"/>
      </w:tblGrid>
      <w:tr w:rsidR="000A4CC2" w:rsidRPr="000A4CC2" w14:paraId="66B12C8B" w14:textId="77777777" w:rsidTr="00947E67">
        <w:trPr>
          <w:tblCellSpacing w:w="15" w:type="dxa"/>
        </w:trPr>
        <w:tc>
          <w:tcPr>
            <w:tcW w:w="636" w:type="pct"/>
            <w:gridSpan w:val="3"/>
            <w:hideMark/>
          </w:tcPr>
          <w:p w14:paraId="5D2BBAAB" w14:textId="77777777" w:rsidR="000A4CC2" w:rsidRPr="000A4CC2" w:rsidRDefault="000A4CC2" w:rsidP="000A4CC2">
            <w:pPr>
              <w:rPr>
                <w:rFonts w:ascii="Tahoma" w:eastAsia="Times New Roman" w:hAnsi="Tahoma" w:cs="Tahoma"/>
                <w:sz w:val="20"/>
                <w:szCs w:val="20"/>
              </w:rPr>
            </w:pPr>
            <w:r w:rsidRPr="000A4CC2">
              <w:rPr>
                <w:rFonts w:ascii="Tahoma" w:eastAsia="Times New Roman" w:hAnsi="Tahoma" w:cs="Tahoma"/>
                <w:b/>
                <w:bCs/>
                <w:sz w:val="20"/>
                <w:szCs w:val="20"/>
              </w:rPr>
              <w:t>HB1035</w:t>
            </w:r>
          </w:p>
        </w:tc>
        <w:tc>
          <w:tcPr>
            <w:tcW w:w="0" w:type="auto"/>
            <w:gridSpan w:val="6"/>
            <w:vAlign w:val="center"/>
            <w:hideMark/>
          </w:tcPr>
          <w:p w14:paraId="71A51F5D" w14:textId="77777777" w:rsidR="000A4CC2" w:rsidRPr="000A4CC2" w:rsidRDefault="000A4CC2" w:rsidP="000A4CC2">
            <w:pPr>
              <w:rPr>
                <w:rFonts w:ascii="Tahoma" w:eastAsia="Times New Roman" w:hAnsi="Tahoma" w:cs="Tahoma"/>
                <w:sz w:val="20"/>
                <w:szCs w:val="20"/>
              </w:rPr>
            </w:pPr>
            <w:r w:rsidRPr="000A4CC2">
              <w:rPr>
                <w:rFonts w:ascii="Tahoma" w:eastAsia="Times New Roman" w:hAnsi="Tahoma" w:cs="Tahoma"/>
                <w:b/>
                <w:bCs/>
                <w:sz w:val="20"/>
                <w:szCs w:val="20"/>
              </w:rPr>
              <w:t>TOWNSHIP ASSESSORS</w:t>
            </w:r>
            <w:r w:rsidRPr="000A4CC2">
              <w:rPr>
                <w:rFonts w:ascii="Tahoma" w:eastAsia="Times New Roman" w:hAnsi="Tahoma" w:cs="Tahoma"/>
                <w:sz w:val="20"/>
                <w:szCs w:val="20"/>
              </w:rPr>
              <w:t xml:space="preserve"> (PRESSEL J) Provides that, in counties that have one or more township assessors, the county election board shall place on the ballot at the November 2024 general election a public question asking whether the office of township assessor should be abolished or continued. Provides that a county election board shall tabulate the votes cast on the public question and certify the results to the department of local government finance. Provides that if </w:t>
            </w:r>
            <w:proofErr w:type="gramStart"/>
            <w:r w:rsidRPr="000A4CC2">
              <w:rPr>
                <w:rFonts w:ascii="Tahoma" w:eastAsia="Times New Roman" w:hAnsi="Tahoma" w:cs="Tahoma"/>
                <w:sz w:val="20"/>
                <w:szCs w:val="20"/>
              </w:rPr>
              <w:t>a majority of</w:t>
            </w:r>
            <w:proofErr w:type="gramEnd"/>
            <w:r w:rsidRPr="000A4CC2">
              <w:rPr>
                <w:rFonts w:ascii="Tahoma" w:eastAsia="Times New Roman" w:hAnsi="Tahoma" w:cs="Tahoma"/>
                <w:sz w:val="20"/>
                <w:szCs w:val="20"/>
              </w:rPr>
              <w:t xml:space="preserve"> the voters voting on the public question vote "yes", the office of each township assessor in the county is abolished, effective January 1, 2026. Provides that if a majority of voters voting on the public question vote "yes": (1) employment positions as of December 31, 2025, of each township assessor in the county are transferred to the county assessor; (2) real and personal property duties of each township assessor in the county are transferred to the county assessor; (3) obligations outstanding on December 31, 2025, of each township assessor in the county are transferred to the county assessor; and (4) the funds of each township assessor in the county on hand for the purpose of carrying out the property assessment duties in the amount determined by the county auditor are transferred to the county assessor. Provides that before October 1, 2025, the county assessor shall interview, or give the opportunity to interview to, </w:t>
            </w:r>
            <w:proofErr w:type="gramStart"/>
            <w:r w:rsidRPr="000A4CC2">
              <w:rPr>
                <w:rFonts w:ascii="Tahoma" w:eastAsia="Times New Roman" w:hAnsi="Tahoma" w:cs="Tahoma"/>
                <w:sz w:val="20"/>
                <w:szCs w:val="20"/>
              </w:rPr>
              <w:t>each individual</w:t>
            </w:r>
            <w:proofErr w:type="gramEnd"/>
            <w:r w:rsidRPr="000A4CC2">
              <w:rPr>
                <w:rFonts w:ascii="Tahoma" w:eastAsia="Times New Roman" w:hAnsi="Tahoma" w:cs="Tahoma"/>
                <w:sz w:val="20"/>
                <w:szCs w:val="20"/>
              </w:rPr>
              <w:t xml:space="preserve"> who: (1) is an employee of a township assessor in the county; and (2) applies before September 1, 2025, for an employment position. Provides that the township shall transfer to the county assessor all revenue received after the date of the transfer that is received by the township for the purpose of carrying out property assessment duties in the amount determined by the county auditor.</w:t>
            </w:r>
          </w:p>
        </w:tc>
      </w:tr>
      <w:tr w:rsidR="000A4CC2" w:rsidRPr="000A4CC2" w14:paraId="21E6B0B8" w14:textId="77777777" w:rsidTr="00947E67">
        <w:trPr>
          <w:tblCellSpacing w:w="15" w:type="dxa"/>
        </w:trPr>
        <w:tc>
          <w:tcPr>
            <w:tcW w:w="0" w:type="auto"/>
            <w:gridSpan w:val="3"/>
            <w:vAlign w:val="center"/>
            <w:hideMark/>
          </w:tcPr>
          <w:p w14:paraId="3606B0C8" w14:textId="77777777" w:rsidR="000A4CC2" w:rsidRPr="000A4CC2" w:rsidRDefault="000A4CC2" w:rsidP="000A4CC2">
            <w:pPr>
              <w:rPr>
                <w:rFonts w:ascii="Tahoma" w:eastAsia="Times New Roman" w:hAnsi="Tahoma" w:cs="Tahoma"/>
                <w:sz w:val="20"/>
                <w:szCs w:val="20"/>
              </w:rPr>
            </w:pPr>
            <w:r w:rsidRPr="000A4CC2">
              <w:rPr>
                <w:rFonts w:ascii="Tahoma" w:eastAsia="Times New Roman" w:hAnsi="Tahoma" w:cs="Tahoma"/>
                <w:sz w:val="20"/>
                <w:szCs w:val="20"/>
              </w:rPr>
              <w:t> </w:t>
            </w:r>
          </w:p>
        </w:tc>
        <w:tc>
          <w:tcPr>
            <w:tcW w:w="1150" w:type="pct"/>
            <w:gridSpan w:val="3"/>
            <w:hideMark/>
          </w:tcPr>
          <w:p w14:paraId="39B8ABCB" w14:textId="77777777" w:rsidR="000A4CC2" w:rsidRPr="000A4CC2" w:rsidRDefault="000A4CC2" w:rsidP="000A4CC2">
            <w:pPr>
              <w:jc w:val="right"/>
              <w:rPr>
                <w:rFonts w:ascii="Tahoma" w:eastAsia="Times New Roman" w:hAnsi="Tahoma" w:cs="Tahoma"/>
                <w:sz w:val="18"/>
                <w:szCs w:val="18"/>
              </w:rPr>
            </w:pPr>
            <w:r w:rsidRPr="000A4CC2">
              <w:rPr>
                <w:rFonts w:ascii="Tahoma" w:eastAsia="Times New Roman" w:hAnsi="Tahoma" w:cs="Tahoma"/>
                <w:b/>
                <w:bCs/>
                <w:i/>
                <w:iCs/>
                <w:sz w:val="18"/>
                <w:szCs w:val="18"/>
              </w:rPr>
              <w:t>Current Status:   </w:t>
            </w:r>
          </w:p>
        </w:tc>
        <w:tc>
          <w:tcPr>
            <w:tcW w:w="0" w:type="auto"/>
            <w:gridSpan w:val="3"/>
            <w:vAlign w:val="center"/>
            <w:hideMark/>
          </w:tcPr>
          <w:p w14:paraId="7CA35AFE" w14:textId="77777777" w:rsidR="000A4CC2" w:rsidRPr="000A4CC2" w:rsidRDefault="000A4CC2" w:rsidP="000A4CC2">
            <w:pPr>
              <w:rPr>
                <w:rFonts w:ascii="Tahoma" w:eastAsia="Times New Roman" w:hAnsi="Tahoma" w:cs="Tahoma"/>
                <w:sz w:val="20"/>
                <w:szCs w:val="20"/>
              </w:rPr>
            </w:pPr>
            <w:r w:rsidRPr="000A4CC2">
              <w:rPr>
                <w:rFonts w:ascii="Tahoma" w:eastAsia="Times New Roman" w:hAnsi="Tahoma" w:cs="Tahoma"/>
                <w:sz w:val="20"/>
                <w:szCs w:val="20"/>
              </w:rPr>
              <w:t>2/23/2023 - Referred to Senate Local Government</w:t>
            </w:r>
          </w:p>
        </w:tc>
      </w:tr>
      <w:tr w:rsidR="000A4CC2" w:rsidRPr="000A4CC2" w14:paraId="05E96842" w14:textId="77777777" w:rsidTr="00947E67">
        <w:trPr>
          <w:tblCellSpacing w:w="15" w:type="dxa"/>
        </w:trPr>
        <w:tc>
          <w:tcPr>
            <w:tcW w:w="0" w:type="auto"/>
            <w:gridSpan w:val="3"/>
            <w:vAlign w:val="center"/>
            <w:hideMark/>
          </w:tcPr>
          <w:p w14:paraId="2A1652CB" w14:textId="77777777" w:rsidR="000A4CC2" w:rsidRPr="000A4CC2" w:rsidRDefault="000A4CC2" w:rsidP="000A4CC2">
            <w:pPr>
              <w:rPr>
                <w:rFonts w:ascii="Tahoma" w:eastAsia="Times New Roman" w:hAnsi="Tahoma" w:cs="Tahoma"/>
                <w:sz w:val="20"/>
                <w:szCs w:val="20"/>
              </w:rPr>
            </w:pPr>
            <w:r w:rsidRPr="000A4CC2">
              <w:rPr>
                <w:rFonts w:ascii="Tahoma" w:eastAsia="Times New Roman" w:hAnsi="Tahoma" w:cs="Tahoma"/>
                <w:sz w:val="20"/>
                <w:szCs w:val="20"/>
              </w:rPr>
              <w:t> </w:t>
            </w:r>
          </w:p>
        </w:tc>
        <w:tc>
          <w:tcPr>
            <w:tcW w:w="1150" w:type="pct"/>
            <w:gridSpan w:val="3"/>
            <w:hideMark/>
          </w:tcPr>
          <w:p w14:paraId="35730851" w14:textId="77777777" w:rsidR="000A4CC2" w:rsidRPr="000A4CC2" w:rsidRDefault="000A4CC2" w:rsidP="000A4CC2">
            <w:pPr>
              <w:jc w:val="right"/>
              <w:rPr>
                <w:rFonts w:ascii="Tahoma" w:eastAsia="Times New Roman" w:hAnsi="Tahoma" w:cs="Tahoma"/>
                <w:sz w:val="18"/>
                <w:szCs w:val="18"/>
              </w:rPr>
            </w:pPr>
            <w:r w:rsidRPr="000A4CC2">
              <w:rPr>
                <w:rFonts w:ascii="Tahoma" w:eastAsia="Times New Roman" w:hAnsi="Tahoma" w:cs="Tahoma"/>
                <w:b/>
                <w:bCs/>
                <w:i/>
                <w:iCs/>
                <w:sz w:val="18"/>
                <w:szCs w:val="18"/>
              </w:rPr>
              <w:t>Recent Status:   </w:t>
            </w:r>
          </w:p>
        </w:tc>
        <w:tc>
          <w:tcPr>
            <w:tcW w:w="0" w:type="auto"/>
            <w:gridSpan w:val="3"/>
            <w:vAlign w:val="center"/>
            <w:hideMark/>
          </w:tcPr>
          <w:p w14:paraId="1912EBB6" w14:textId="77777777" w:rsidR="000A4CC2" w:rsidRPr="000A4CC2" w:rsidRDefault="000A4CC2" w:rsidP="000A4CC2">
            <w:pPr>
              <w:rPr>
                <w:rFonts w:ascii="Tahoma" w:eastAsia="Times New Roman" w:hAnsi="Tahoma" w:cs="Tahoma"/>
                <w:sz w:val="20"/>
                <w:szCs w:val="20"/>
              </w:rPr>
            </w:pPr>
            <w:r w:rsidRPr="000A4CC2">
              <w:rPr>
                <w:rFonts w:ascii="Tahoma" w:eastAsia="Times New Roman" w:hAnsi="Tahoma" w:cs="Tahoma"/>
                <w:sz w:val="20"/>
                <w:szCs w:val="20"/>
              </w:rPr>
              <w:t>2/23/2023 - First Reading</w:t>
            </w:r>
            <w:r w:rsidRPr="000A4CC2">
              <w:rPr>
                <w:rFonts w:ascii="Tahoma" w:eastAsia="Times New Roman" w:hAnsi="Tahoma" w:cs="Tahoma"/>
                <w:sz w:val="20"/>
                <w:szCs w:val="20"/>
              </w:rPr>
              <w:br/>
              <w:t>1/24/2023 - Referred to Senate</w:t>
            </w:r>
          </w:p>
        </w:tc>
      </w:tr>
      <w:tr w:rsidR="000A4CC2" w:rsidRPr="000A4CC2" w14:paraId="5ECA9EE9" w14:textId="77777777" w:rsidTr="00947E67">
        <w:trPr>
          <w:tblCellSpacing w:w="15" w:type="dxa"/>
        </w:trPr>
        <w:tc>
          <w:tcPr>
            <w:tcW w:w="0" w:type="auto"/>
            <w:gridSpan w:val="3"/>
            <w:vAlign w:val="center"/>
            <w:hideMark/>
          </w:tcPr>
          <w:p w14:paraId="665155DC" w14:textId="77777777" w:rsidR="000A4CC2" w:rsidRPr="000A4CC2" w:rsidRDefault="000A4CC2" w:rsidP="000A4CC2">
            <w:pPr>
              <w:rPr>
                <w:rFonts w:ascii="Tahoma" w:eastAsia="Times New Roman" w:hAnsi="Tahoma" w:cs="Tahoma"/>
                <w:sz w:val="20"/>
                <w:szCs w:val="20"/>
              </w:rPr>
            </w:pPr>
            <w:r w:rsidRPr="000A4CC2">
              <w:rPr>
                <w:rFonts w:ascii="Tahoma" w:eastAsia="Times New Roman" w:hAnsi="Tahoma" w:cs="Tahoma"/>
                <w:sz w:val="20"/>
                <w:szCs w:val="20"/>
              </w:rPr>
              <w:t> </w:t>
            </w:r>
          </w:p>
        </w:tc>
        <w:tc>
          <w:tcPr>
            <w:tcW w:w="1150" w:type="pct"/>
            <w:gridSpan w:val="3"/>
            <w:hideMark/>
          </w:tcPr>
          <w:p w14:paraId="5957C75D" w14:textId="77777777" w:rsidR="000A4CC2" w:rsidRPr="000A4CC2" w:rsidRDefault="000A4CC2" w:rsidP="000A4CC2">
            <w:pPr>
              <w:jc w:val="right"/>
              <w:rPr>
                <w:rFonts w:ascii="Tahoma" w:eastAsia="Times New Roman" w:hAnsi="Tahoma" w:cs="Tahoma"/>
                <w:sz w:val="18"/>
                <w:szCs w:val="18"/>
              </w:rPr>
            </w:pPr>
            <w:r w:rsidRPr="000A4CC2">
              <w:rPr>
                <w:rFonts w:ascii="Tahoma" w:eastAsia="Times New Roman" w:hAnsi="Tahoma" w:cs="Tahoma"/>
                <w:b/>
                <w:bCs/>
                <w:i/>
                <w:iCs/>
                <w:sz w:val="18"/>
                <w:szCs w:val="18"/>
              </w:rPr>
              <w:t>State Bill Page:   </w:t>
            </w:r>
          </w:p>
        </w:tc>
        <w:tc>
          <w:tcPr>
            <w:tcW w:w="0" w:type="auto"/>
            <w:gridSpan w:val="3"/>
            <w:vAlign w:val="center"/>
            <w:hideMark/>
          </w:tcPr>
          <w:p w14:paraId="178830F3" w14:textId="77777777" w:rsidR="000A4CC2" w:rsidRPr="000A4CC2" w:rsidRDefault="000A4CC2" w:rsidP="000A4CC2">
            <w:pPr>
              <w:rPr>
                <w:rFonts w:ascii="Tahoma" w:eastAsia="Times New Roman" w:hAnsi="Tahoma" w:cs="Tahoma"/>
                <w:sz w:val="20"/>
                <w:szCs w:val="20"/>
              </w:rPr>
            </w:pPr>
            <w:hyperlink r:id="rId10" w:tgtFrame="_blank" w:history="1">
              <w:r w:rsidRPr="000A4CC2">
                <w:rPr>
                  <w:rFonts w:ascii="Tahoma" w:eastAsia="Times New Roman" w:hAnsi="Tahoma" w:cs="Tahoma"/>
                  <w:color w:val="0000FF"/>
                  <w:sz w:val="20"/>
                  <w:szCs w:val="20"/>
                  <w:u w:val="single"/>
                </w:rPr>
                <w:t>HB1035</w:t>
              </w:r>
            </w:hyperlink>
          </w:p>
        </w:tc>
      </w:tr>
      <w:tr w:rsidR="00E9463A" w:rsidRPr="00E9463A" w14:paraId="738F9567" w14:textId="77777777" w:rsidTr="00947E67">
        <w:trPr>
          <w:gridAfter w:val="2"/>
          <w:wAfter w:w="249" w:type="pct"/>
          <w:tblCellSpacing w:w="15" w:type="dxa"/>
        </w:trPr>
        <w:tc>
          <w:tcPr>
            <w:tcW w:w="516" w:type="pct"/>
            <w:hideMark/>
          </w:tcPr>
          <w:p w14:paraId="03F78F19" w14:textId="77777777" w:rsidR="00E9463A" w:rsidRPr="00E9463A" w:rsidRDefault="00E9463A" w:rsidP="00E9463A">
            <w:pPr>
              <w:rPr>
                <w:rFonts w:ascii="Tahoma" w:eastAsia="Times New Roman" w:hAnsi="Tahoma" w:cs="Tahoma"/>
                <w:sz w:val="20"/>
                <w:szCs w:val="20"/>
              </w:rPr>
            </w:pPr>
            <w:r w:rsidRPr="00E9463A">
              <w:rPr>
                <w:rFonts w:ascii="Tahoma" w:eastAsia="Times New Roman" w:hAnsi="Tahoma" w:cs="Tahoma"/>
                <w:b/>
                <w:bCs/>
                <w:sz w:val="20"/>
                <w:szCs w:val="20"/>
              </w:rPr>
              <w:t>HB1085</w:t>
            </w:r>
          </w:p>
        </w:tc>
        <w:tc>
          <w:tcPr>
            <w:tcW w:w="4176" w:type="pct"/>
            <w:gridSpan w:val="6"/>
            <w:vAlign w:val="center"/>
            <w:hideMark/>
          </w:tcPr>
          <w:p w14:paraId="4B3962C9" w14:textId="77777777" w:rsidR="00E9463A" w:rsidRPr="00E9463A" w:rsidRDefault="00E9463A" w:rsidP="00E9463A">
            <w:pPr>
              <w:rPr>
                <w:rFonts w:ascii="Tahoma" w:eastAsia="Times New Roman" w:hAnsi="Tahoma" w:cs="Tahoma"/>
                <w:sz w:val="20"/>
                <w:szCs w:val="20"/>
              </w:rPr>
            </w:pPr>
            <w:r w:rsidRPr="00E9463A">
              <w:rPr>
                <w:rFonts w:ascii="Tahoma" w:eastAsia="Times New Roman" w:hAnsi="Tahoma" w:cs="Tahoma"/>
                <w:b/>
                <w:bCs/>
                <w:sz w:val="20"/>
                <w:szCs w:val="20"/>
              </w:rPr>
              <w:t>TAX INCREMENT FINANCING</w:t>
            </w:r>
            <w:r w:rsidRPr="00E9463A">
              <w:rPr>
                <w:rFonts w:ascii="Tahoma" w:eastAsia="Times New Roman" w:hAnsi="Tahoma" w:cs="Tahoma"/>
                <w:sz w:val="20"/>
                <w:szCs w:val="20"/>
              </w:rPr>
              <w:t xml:space="preserve"> (CHERRY R) Makes changes to the membership compositions of redevelopment commissions. Provides that the president and vice president of a redevelopment commission shall not have the same appointing authority. Requires a commission to provide an annual spending plan listing planned expenditures for the next calendar year. Provides that a commission may accelerate payments toward debt service obligations, </w:t>
            </w:r>
            <w:proofErr w:type="gramStart"/>
            <w:r w:rsidRPr="00E9463A">
              <w:rPr>
                <w:rFonts w:ascii="Tahoma" w:eastAsia="Times New Roman" w:hAnsi="Tahoma" w:cs="Tahoma"/>
                <w:sz w:val="20"/>
                <w:szCs w:val="20"/>
              </w:rPr>
              <w:t>in order to</w:t>
            </w:r>
            <w:proofErr w:type="gramEnd"/>
            <w:r w:rsidRPr="00E9463A">
              <w:rPr>
                <w:rFonts w:ascii="Tahoma" w:eastAsia="Times New Roman" w:hAnsi="Tahoma" w:cs="Tahoma"/>
                <w:sz w:val="20"/>
                <w:szCs w:val="20"/>
              </w:rPr>
              <w:t xml:space="preserve"> retire debt service earlier, regardless of whether that use is listed in the annual spending plan. Provides that a commission making accelerated debt payments may retain the assessed value associated with the original debt service schedule. Requires a commission to provide fund balances to the department of local government finance at the end </w:t>
            </w:r>
            <w:r w:rsidRPr="00E9463A">
              <w:rPr>
                <w:rFonts w:ascii="Tahoma" w:eastAsia="Times New Roman" w:hAnsi="Tahoma" w:cs="Tahoma"/>
                <w:sz w:val="20"/>
                <w:szCs w:val="20"/>
              </w:rPr>
              <w:lastRenderedPageBreak/>
              <w:t xml:space="preserve">of a calendar year. Provides that except for property tax proceeds transferred to a school corporation or public school, including a charter school, allocated property tax proceeds may be expended for projects located outside an allocation area only if the commission adopts a declaratory resolution that finds that the expenditures: (1) will directly benefit the allocation area; or (2) will result in the creation or retention of jobs in the private sector. Provides that specified amounts collected in an allocation area must be allocated to certain taxing units that provide police or fire services in the allocation area and specifies the </w:t>
            </w:r>
            <w:proofErr w:type="gramStart"/>
            <w:r w:rsidRPr="00E9463A">
              <w:rPr>
                <w:rFonts w:ascii="Tahoma" w:eastAsia="Times New Roman" w:hAnsi="Tahoma" w:cs="Tahoma"/>
                <w:sz w:val="20"/>
                <w:szCs w:val="20"/>
              </w:rPr>
              <w:t>manner in which</w:t>
            </w:r>
            <w:proofErr w:type="gramEnd"/>
            <w:r w:rsidRPr="00E9463A">
              <w:rPr>
                <w:rFonts w:ascii="Tahoma" w:eastAsia="Times New Roman" w:hAnsi="Tahoma" w:cs="Tahoma"/>
                <w:sz w:val="20"/>
                <w:szCs w:val="20"/>
              </w:rPr>
              <w:t xml:space="preserve"> those allocation calculations are to be made. Provides that the amount of assessed value in excess of the 200% required to make principal and interest payments on bonds may be used for non-debt, </w:t>
            </w:r>
            <w:proofErr w:type="gramStart"/>
            <w:r w:rsidRPr="00E9463A">
              <w:rPr>
                <w:rFonts w:ascii="Tahoma" w:eastAsia="Times New Roman" w:hAnsi="Tahoma" w:cs="Tahoma"/>
                <w:sz w:val="20"/>
                <w:szCs w:val="20"/>
              </w:rPr>
              <w:t>one time</w:t>
            </w:r>
            <w:proofErr w:type="gramEnd"/>
            <w:r w:rsidRPr="00E9463A">
              <w:rPr>
                <w:rFonts w:ascii="Tahoma" w:eastAsia="Times New Roman" w:hAnsi="Tahoma" w:cs="Tahoma"/>
                <w:sz w:val="20"/>
                <w:szCs w:val="20"/>
              </w:rPr>
              <w:t xml:space="preserve"> purposes within a calendar year before allocating the balance of the excess assessed value to the respective taxing units. Provides that the expiration date of an allocation area may not be extended. Provides that a commission may, pursuant to the approval of the local legislative body, create an account for a specific infrastructure purpose. Provides that for a bond issuance related exclusively for infrastructure in an allocation area, new bonds may only be issued by an existing commission between July 1, 2023, and January 1, 2025. Provides that, for 2023, an ordinance or resolution to establish or expand a fire protection territory is adopted after the legislative body holds at least three public hearings to receive public comment on the proposed ordinance or resolution in which: (1) at least one public hearing must be held at least 25 days before the legislative body votes on the adoption of the ordinance or resolution; and (2) at least two additional public hearings must be held not later than five days before the legislative body votes on the adoption of the ordinance or resolution. Provides that the excess of the proceeds of the property taxes attributable to an increase in the property tax rate for a participating unit of a fire protection territory that is established after the establishment of a tax increment financing area located outside of Marion County shall be allocated to and distributed in the form of an assessed value pass back to the participating unit of the fire protection territory and not to the redevelopment district.</w:t>
            </w:r>
          </w:p>
        </w:tc>
      </w:tr>
      <w:tr w:rsidR="00E9463A" w:rsidRPr="00E9463A" w14:paraId="077E52DB" w14:textId="77777777" w:rsidTr="00947E67">
        <w:trPr>
          <w:gridAfter w:val="2"/>
          <w:wAfter w:w="249" w:type="pct"/>
          <w:tblCellSpacing w:w="15" w:type="dxa"/>
        </w:trPr>
        <w:tc>
          <w:tcPr>
            <w:tcW w:w="0" w:type="auto"/>
            <w:vAlign w:val="center"/>
            <w:hideMark/>
          </w:tcPr>
          <w:p w14:paraId="66638F32" w14:textId="77777777" w:rsidR="00E9463A" w:rsidRPr="00E9463A" w:rsidRDefault="00E9463A" w:rsidP="00E9463A">
            <w:pPr>
              <w:rPr>
                <w:rFonts w:ascii="Tahoma" w:eastAsia="Times New Roman" w:hAnsi="Tahoma" w:cs="Tahoma"/>
                <w:sz w:val="20"/>
                <w:szCs w:val="20"/>
              </w:rPr>
            </w:pPr>
            <w:r w:rsidRPr="00E9463A">
              <w:rPr>
                <w:rFonts w:ascii="Tahoma" w:eastAsia="Times New Roman" w:hAnsi="Tahoma" w:cs="Tahoma"/>
                <w:sz w:val="20"/>
                <w:szCs w:val="20"/>
              </w:rPr>
              <w:lastRenderedPageBreak/>
              <w:t> </w:t>
            </w:r>
          </w:p>
        </w:tc>
        <w:tc>
          <w:tcPr>
            <w:tcW w:w="1059" w:type="pct"/>
            <w:gridSpan w:val="3"/>
            <w:hideMark/>
          </w:tcPr>
          <w:p w14:paraId="147957E5" w14:textId="77777777" w:rsidR="00E9463A" w:rsidRPr="00E9463A" w:rsidRDefault="00E9463A" w:rsidP="00E9463A">
            <w:pPr>
              <w:jc w:val="right"/>
              <w:rPr>
                <w:rFonts w:ascii="Tahoma" w:eastAsia="Times New Roman" w:hAnsi="Tahoma" w:cs="Tahoma"/>
                <w:sz w:val="18"/>
                <w:szCs w:val="18"/>
              </w:rPr>
            </w:pPr>
            <w:r w:rsidRPr="00E9463A">
              <w:rPr>
                <w:rFonts w:ascii="Tahoma" w:eastAsia="Times New Roman" w:hAnsi="Tahoma" w:cs="Tahoma"/>
                <w:b/>
                <w:bCs/>
                <w:i/>
                <w:iCs/>
                <w:sz w:val="18"/>
                <w:szCs w:val="18"/>
              </w:rPr>
              <w:t>Current Status:   </w:t>
            </w:r>
          </w:p>
        </w:tc>
        <w:tc>
          <w:tcPr>
            <w:tcW w:w="3102" w:type="pct"/>
            <w:gridSpan w:val="3"/>
            <w:vAlign w:val="center"/>
            <w:hideMark/>
          </w:tcPr>
          <w:p w14:paraId="0E2DA0CB" w14:textId="77777777" w:rsidR="00E9463A" w:rsidRPr="00E9463A" w:rsidRDefault="00E9463A" w:rsidP="00E9463A">
            <w:pPr>
              <w:rPr>
                <w:rFonts w:ascii="Tahoma" w:eastAsia="Times New Roman" w:hAnsi="Tahoma" w:cs="Tahoma"/>
                <w:sz w:val="20"/>
                <w:szCs w:val="20"/>
              </w:rPr>
            </w:pPr>
            <w:r w:rsidRPr="00E9463A">
              <w:rPr>
                <w:rFonts w:ascii="Tahoma" w:eastAsia="Times New Roman" w:hAnsi="Tahoma" w:cs="Tahoma"/>
                <w:sz w:val="20"/>
                <w:szCs w:val="20"/>
              </w:rPr>
              <w:t>2/27/2023 - House Bills on Third Reading</w:t>
            </w:r>
          </w:p>
        </w:tc>
      </w:tr>
      <w:tr w:rsidR="00E9463A" w:rsidRPr="00E9463A" w14:paraId="2E1245E9" w14:textId="77777777" w:rsidTr="00947E67">
        <w:trPr>
          <w:gridAfter w:val="2"/>
          <w:wAfter w:w="249" w:type="pct"/>
          <w:tblCellSpacing w:w="15" w:type="dxa"/>
        </w:trPr>
        <w:tc>
          <w:tcPr>
            <w:tcW w:w="0" w:type="auto"/>
            <w:vAlign w:val="center"/>
            <w:hideMark/>
          </w:tcPr>
          <w:p w14:paraId="143D5D80" w14:textId="77777777" w:rsidR="00E9463A" w:rsidRPr="00E9463A" w:rsidRDefault="00E9463A" w:rsidP="00E9463A">
            <w:pPr>
              <w:rPr>
                <w:rFonts w:ascii="Tahoma" w:eastAsia="Times New Roman" w:hAnsi="Tahoma" w:cs="Tahoma"/>
                <w:sz w:val="20"/>
                <w:szCs w:val="20"/>
              </w:rPr>
            </w:pPr>
            <w:r w:rsidRPr="00E9463A">
              <w:rPr>
                <w:rFonts w:ascii="Tahoma" w:eastAsia="Times New Roman" w:hAnsi="Tahoma" w:cs="Tahoma"/>
                <w:sz w:val="20"/>
                <w:szCs w:val="20"/>
              </w:rPr>
              <w:t> </w:t>
            </w:r>
          </w:p>
        </w:tc>
        <w:tc>
          <w:tcPr>
            <w:tcW w:w="1059" w:type="pct"/>
            <w:gridSpan w:val="3"/>
            <w:hideMark/>
          </w:tcPr>
          <w:p w14:paraId="1138A4FC" w14:textId="77777777" w:rsidR="00E9463A" w:rsidRPr="00E9463A" w:rsidRDefault="00E9463A" w:rsidP="00E9463A">
            <w:pPr>
              <w:jc w:val="right"/>
              <w:rPr>
                <w:rFonts w:ascii="Tahoma" w:eastAsia="Times New Roman" w:hAnsi="Tahoma" w:cs="Tahoma"/>
                <w:sz w:val="18"/>
                <w:szCs w:val="18"/>
              </w:rPr>
            </w:pPr>
            <w:r w:rsidRPr="00E9463A">
              <w:rPr>
                <w:rFonts w:ascii="Tahoma" w:eastAsia="Times New Roman" w:hAnsi="Tahoma" w:cs="Tahoma"/>
                <w:b/>
                <w:bCs/>
                <w:i/>
                <w:iCs/>
                <w:sz w:val="18"/>
                <w:szCs w:val="18"/>
              </w:rPr>
              <w:t>Recent Status:   </w:t>
            </w:r>
          </w:p>
        </w:tc>
        <w:tc>
          <w:tcPr>
            <w:tcW w:w="3102" w:type="pct"/>
            <w:gridSpan w:val="3"/>
            <w:vAlign w:val="center"/>
            <w:hideMark/>
          </w:tcPr>
          <w:p w14:paraId="451E14D7" w14:textId="77777777" w:rsidR="00E9463A" w:rsidRPr="00E9463A" w:rsidRDefault="00E9463A" w:rsidP="00E9463A">
            <w:pPr>
              <w:rPr>
                <w:rFonts w:ascii="Tahoma" w:eastAsia="Times New Roman" w:hAnsi="Tahoma" w:cs="Tahoma"/>
                <w:sz w:val="20"/>
                <w:szCs w:val="20"/>
              </w:rPr>
            </w:pPr>
            <w:r w:rsidRPr="00E9463A">
              <w:rPr>
                <w:rFonts w:ascii="Tahoma" w:eastAsia="Times New Roman" w:hAnsi="Tahoma" w:cs="Tahoma"/>
                <w:sz w:val="20"/>
                <w:szCs w:val="20"/>
              </w:rPr>
              <w:t>2/23/2023 - House Bills on Third Reading</w:t>
            </w:r>
            <w:r w:rsidRPr="00E9463A">
              <w:rPr>
                <w:rFonts w:ascii="Tahoma" w:eastAsia="Times New Roman" w:hAnsi="Tahoma" w:cs="Tahoma"/>
                <w:sz w:val="20"/>
                <w:szCs w:val="20"/>
              </w:rPr>
              <w:br/>
              <w:t>2/22/2023 - Second reading amended, ordered engrossed</w:t>
            </w:r>
          </w:p>
        </w:tc>
      </w:tr>
      <w:tr w:rsidR="00E9463A" w:rsidRPr="00E9463A" w14:paraId="7AACCE4D" w14:textId="77777777" w:rsidTr="00947E67">
        <w:trPr>
          <w:gridAfter w:val="2"/>
          <w:wAfter w:w="249" w:type="pct"/>
          <w:tblCellSpacing w:w="15" w:type="dxa"/>
        </w:trPr>
        <w:tc>
          <w:tcPr>
            <w:tcW w:w="0" w:type="auto"/>
            <w:vAlign w:val="center"/>
            <w:hideMark/>
          </w:tcPr>
          <w:p w14:paraId="0E10D244" w14:textId="77777777" w:rsidR="00E9463A" w:rsidRPr="00E9463A" w:rsidRDefault="00E9463A" w:rsidP="00E9463A">
            <w:pPr>
              <w:rPr>
                <w:rFonts w:ascii="Tahoma" w:eastAsia="Times New Roman" w:hAnsi="Tahoma" w:cs="Tahoma"/>
                <w:sz w:val="20"/>
                <w:szCs w:val="20"/>
              </w:rPr>
            </w:pPr>
            <w:r w:rsidRPr="00E9463A">
              <w:rPr>
                <w:rFonts w:ascii="Tahoma" w:eastAsia="Times New Roman" w:hAnsi="Tahoma" w:cs="Tahoma"/>
                <w:sz w:val="20"/>
                <w:szCs w:val="20"/>
              </w:rPr>
              <w:t> </w:t>
            </w:r>
          </w:p>
        </w:tc>
        <w:tc>
          <w:tcPr>
            <w:tcW w:w="1059" w:type="pct"/>
            <w:gridSpan w:val="3"/>
            <w:hideMark/>
          </w:tcPr>
          <w:p w14:paraId="365F2D48" w14:textId="77777777" w:rsidR="00E9463A" w:rsidRPr="00E9463A" w:rsidRDefault="00E9463A" w:rsidP="00E9463A">
            <w:pPr>
              <w:jc w:val="right"/>
              <w:rPr>
                <w:rFonts w:ascii="Tahoma" w:eastAsia="Times New Roman" w:hAnsi="Tahoma" w:cs="Tahoma"/>
                <w:sz w:val="18"/>
                <w:szCs w:val="18"/>
              </w:rPr>
            </w:pPr>
            <w:r w:rsidRPr="00E9463A">
              <w:rPr>
                <w:rFonts w:ascii="Tahoma" w:eastAsia="Times New Roman" w:hAnsi="Tahoma" w:cs="Tahoma"/>
                <w:b/>
                <w:bCs/>
                <w:i/>
                <w:iCs/>
                <w:sz w:val="18"/>
                <w:szCs w:val="18"/>
              </w:rPr>
              <w:t>State Bill Page:   </w:t>
            </w:r>
          </w:p>
        </w:tc>
        <w:tc>
          <w:tcPr>
            <w:tcW w:w="3102" w:type="pct"/>
            <w:gridSpan w:val="3"/>
            <w:vAlign w:val="center"/>
            <w:hideMark/>
          </w:tcPr>
          <w:p w14:paraId="7C58EDEE" w14:textId="77777777" w:rsidR="00E9463A" w:rsidRPr="00E9463A" w:rsidRDefault="00E9463A" w:rsidP="00E9463A">
            <w:pPr>
              <w:rPr>
                <w:rFonts w:ascii="Tahoma" w:eastAsia="Times New Roman" w:hAnsi="Tahoma" w:cs="Tahoma"/>
                <w:sz w:val="20"/>
                <w:szCs w:val="20"/>
              </w:rPr>
            </w:pPr>
            <w:hyperlink r:id="rId11" w:tgtFrame="_blank" w:history="1">
              <w:r w:rsidRPr="00E9463A">
                <w:rPr>
                  <w:rFonts w:ascii="Tahoma" w:eastAsia="Times New Roman" w:hAnsi="Tahoma" w:cs="Tahoma"/>
                  <w:color w:val="0000FF"/>
                  <w:sz w:val="20"/>
                  <w:szCs w:val="20"/>
                  <w:u w:val="single"/>
                </w:rPr>
                <w:t>HB1085</w:t>
              </w:r>
            </w:hyperlink>
          </w:p>
        </w:tc>
      </w:tr>
      <w:tr w:rsidR="00947E67" w:rsidRPr="00947E67" w14:paraId="11DEFF35" w14:textId="77777777" w:rsidTr="00947E67">
        <w:trPr>
          <w:gridAfter w:val="1"/>
          <w:tblCellSpacing w:w="15" w:type="dxa"/>
        </w:trPr>
        <w:tc>
          <w:tcPr>
            <w:tcW w:w="585" w:type="pct"/>
            <w:gridSpan w:val="2"/>
            <w:hideMark/>
          </w:tcPr>
          <w:p w14:paraId="73416C7F" w14:textId="77777777" w:rsidR="00947E67" w:rsidRPr="00947E67" w:rsidRDefault="00947E67" w:rsidP="00947E67">
            <w:pPr>
              <w:rPr>
                <w:rFonts w:ascii="Tahoma" w:eastAsia="Times New Roman" w:hAnsi="Tahoma" w:cs="Tahoma"/>
                <w:sz w:val="20"/>
                <w:szCs w:val="20"/>
              </w:rPr>
            </w:pPr>
            <w:r w:rsidRPr="00947E67">
              <w:rPr>
                <w:rFonts w:ascii="Tahoma" w:eastAsia="Times New Roman" w:hAnsi="Tahoma" w:cs="Tahoma"/>
                <w:b/>
                <w:bCs/>
                <w:sz w:val="20"/>
                <w:szCs w:val="20"/>
              </w:rPr>
              <w:t>SB419</w:t>
            </w:r>
          </w:p>
        </w:tc>
        <w:tc>
          <w:tcPr>
            <w:tcW w:w="4352" w:type="pct"/>
            <w:gridSpan w:val="6"/>
            <w:vAlign w:val="center"/>
            <w:hideMark/>
          </w:tcPr>
          <w:p w14:paraId="2FEC289E" w14:textId="77777777" w:rsidR="00947E67" w:rsidRPr="00947E67" w:rsidRDefault="00947E67" w:rsidP="00947E67">
            <w:pPr>
              <w:rPr>
                <w:rFonts w:ascii="Tahoma" w:eastAsia="Times New Roman" w:hAnsi="Tahoma" w:cs="Tahoma"/>
                <w:sz w:val="20"/>
                <w:szCs w:val="20"/>
              </w:rPr>
            </w:pPr>
            <w:r w:rsidRPr="00947E67">
              <w:rPr>
                <w:rFonts w:ascii="Tahoma" w:eastAsia="Times New Roman" w:hAnsi="Tahoma" w:cs="Tahoma"/>
                <w:b/>
                <w:bCs/>
                <w:sz w:val="20"/>
                <w:szCs w:val="20"/>
              </w:rPr>
              <w:t>STATE TAX MATTERS</w:t>
            </w:r>
            <w:r w:rsidRPr="00947E67">
              <w:rPr>
                <w:rFonts w:ascii="Tahoma" w:eastAsia="Times New Roman" w:hAnsi="Tahoma" w:cs="Tahoma"/>
                <w:sz w:val="20"/>
                <w:szCs w:val="20"/>
              </w:rPr>
              <w:t xml:space="preserve"> (</w:t>
            </w:r>
            <w:proofErr w:type="spellStart"/>
            <w:r w:rsidRPr="00947E67">
              <w:rPr>
                <w:rFonts w:ascii="Tahoma" w:eastAsia="Times New Roman" w:hAnsi="Tahoma" w:cs="Tahoma"/>
                <w:sz w:val="20"/>
                <w:szCs w:val="20"/>
              </w:rPr>
              <w:t>HOLDMAN</w:t>
            </w:r>
            <w:proofErr w:type="spellEnd"/>
            <w:r w:rsidRPr="00947E67">
              <w:rPr>
                <w:rFonts w:ascii="Tahoma" w:eastAsia="Times New Roman" w:hAnsi="Tahoma" w:cs="Tahoma"/>
                <w:sz w:val="20"/>
                <w:szCs w:val="20"/>
              </w:rPr>
              <w:t xml:space="preserve"> T) Makes certain changes regarding net operating losses for purposes of </w:t>
            </w:r>
            <w:proofErr w:type="spellStart"/>
            <w:r w:rsidRPr="00947E67">
              <w:rPr>
                <w:rFonts w:ascii="Tahoma" w:eastAsia="Times New Roman" w:hAnsi="Tahoma" w:cs="Tahoma"/>
                <w:sz w:val="20"/>
                <w:szCs w:val="20"/>
              </w:rPr>
              <w:t>determinating</w:t>
            </w:r>
            <w:proofErr w:type="spellEnd"/>
            <w:r w:rsidRPr="00947E67">
              <w:rPr>
                <w:rFonts w:ascii="Tahoma" w:eastAsia="Times New Roman" w:hAnsi="Tahoma" w:cs="Tahoma"/>
                <w:sz w:val="20"/>
                <w:szCs w:val="20"/>
              </w:rPr>
              <w:t xml:space="preserve"> state adjusted gross income. Provides that certain amounts for providing or expanding access to broadband service in Indiana may be subtracted from a taxpayer's state corporate adjusted gross income. Provides for successor liability for certain unpaid taxes following a business asset sale. Repeals an outdated provision requiring separate exemption certificates for manufacturers and wholesalers. Makes a clarifying change to the sales tax exemption that applies to power subsidiaries. Clarifies the acquisition date for purposes of adding back interest from tax exempt bonds issued by another state in determining Indiana adjusted gross income. Amends provisions regarding the exemption for certain income derived from patents. Provides that tax paid by an electing partnership is deposited in the state general fund. Makes clarifying changes and technical corrections to the affordable and workforce housing tax credit. Specifies the deposit and distribution of interest and penalties associated with certain taxes. Authorizes the department of state revenue to publish or disclose the status of a governmental or nonprofit entity's sales tax exemption certificate. Provides that a person who knowingly or intentionally sells, purchases, installs, transfers, or possesses: (1) an automated sales suppression device or a zapper; or (2) phantom-ware; commits a Level 5 felony. Makes clarifying and technical corrections to provisions under the electronic cigarette tax.</w:t>
            </w:r>
          </w:p>
        </w:tc>
      </w:tr>
      <w:tr w:rsidR="00947E67" w:rsidRPr="00947E67" w14:paraId="2A3D41AF" w14:textId="77777777" w:rsidTr="00947E67">
        <w:trPr>
          <w:gridAfter w:val="1"/>
          <w:tblCellSpacing w:w="15" w:type="dxa"/>
        </w:trPr>
        <w:tc>
          <w:tcPr>
            <w:tcW w:w="0" w:type="auto"/>
            <w:gridSpan w:val="2"/>
            <w:vAlign w:val="center"/>
            <w:hideMark/>
          </w:tcPr>
          <w:p w14:paraId="32F14482" w14:textId="77777777" w:rsidR="00947E67" w:rsidRPr="00947E67" w:rsidRDefault="00947E67" w:rsidP="00947E67">
            <w:pPr>
              <w:rPr>
                <w:rFonts w:ascii="Tahoma" w:eastAsia="Times New Roman" w:hAnsi="Tahoma" w:cs="Tahoma"/>
                <w:sz w:val="20"/>
                <w:szCs w:val="20"/>
              </w:rPr>
            </w:pPr>
            <w:r w:rsidRPr="00947E67">
              <w:rPr>
                <w:rFonts w:ascii="Tahoma" w:eastAsia="Times New Roman" w:hAnsi="Tahoma" w:cs="Tahoma"/>
                <w:sz w:val="20"/>
                <w:szCs w:val="20"/>
              </w:rPr>
              <w:t> </w:t>
            </w:r>
          </w:p>
        </w:tc>
        <w:tc>
          <w:tcPr>
            <w:tcW w:w="1126" w:type="pct"/>
            <w:gridSpan w:val="3"/>
            <w:hideMark/>
          </w:tcPr>
          <w:p w14:paraId="6CDE082A" w14:textId="77777777" w:rsidR="00947E67" w:rsidRPr="00947E67" w:rsidRDefault="00947E67" w:rsidP="00947E67">
            <w:pPr>
              <w:jc w:val="right"/>
              <w:rPr>
                <w:rFonts w:ascii="Tahoma" w:eastAsia="Times New Roman" w:hAnsi="Tahoma" w:cs="Tahoma"/>
                <w:sz w:val="18"/>
                <w:szCs w:val="18"/>
              </w:rPr>
            </w:pPr>
            <w:r w:rsidRPr="00947E67">
              <w:rPr>
                <w:rFonts w:ascii="Tahoma" w:eastAsia="Times New Roman" w:hAnsi="Tahoma" w:cs="Tahoma"/>
                <w:b/>
                <w:bCs/>
                <w:i/>
                <w:iCs/>
                <w:sz w:val="18"/>
                <w:szCs w:val="18"/>
              </w:rPr>
              <w:t>Current Status:   </w:t>
            </w:r>
          </w:p>
        </w:tc>
        <w:tc>
          <w:tcPr>
            <w:tcW w:w="3211" w:type="pct"/>
            <w:gridSpan w:val="3"/>
            <w:vAlign w:val="center"/>
            <w:hideMark/>
          </w:tcPr>
          <w:p w14:paraId="1CEC2467" w14:textId="77777777" w:rsidR="00947E67" w:rsidRPr="00947E67" w:rsidRDefault="00947E67" w:rsidP="00947E67">
            <w:pPr>
              <w:rPr>
                <w:rFonts w:ascii="Tahoma" w:eastAsia="Times New Roman" w:hAnsi="Tahoma" w:cs="Tahoma"/>
                <w:sz w:val="20"/>
                <w:szCs w:val="20"/>
              </w:rPr>
            </w:pPr>
            <w:r w:rsidRPr="00947E67">
              <w:rPr>
                <w:rFonts w:ascii="Tahoma" w:eastAsia="Times New Roman" w:hAnsi="Tahoma" w:cs="Tahoma"/>
                <w:sz w:val="20"/>
                <w:szCs w:val="20"/>
              </w:rPr>
              <w:t>2/23/2023 - added as second author Senator Baldwin</w:t>
            </w:r>
          </w:p>
        </w:tc>
      </w:tr>
      <w:tr w:rsidR="00947E67" w:rsidRPr="00947E67" w14:paraId="3EFD67CA" w14:textId="77777777" w:rsidTr="00947E67">
        <w:trPr>
          <w:gridAfter w:val="1"/>
          <w:tblCellSpacing w:w="15" w:type="dxa"/>
        </w:trPr>
        <w:tc>
          <w:tcPr>
            <w:tcW w:w="0" w:type="auto"/>
            <w:gridSpan w:val="2"/>
            <w:vAlign w:val="center"/>
            <w:hideMark/>
          </w:tcPr>
          <w:p w14:paraId="0B0DAE3E" w14:textId="77777777" w:rsidR="00947E67" w:rsidRPr="00947E67" w:rsidRDefault="00947E67" w:rsidP="00947E67">
            <w:pPr>
              <w:rPr>
                <w:rFonts w:ascii="Tahoma" w:eastAsia="Times New Roman" w:hAnsi="Tahoma" w:cs="Tahoma"/>
                <w:sz w:val="20"/>
                <w:szCs w:val="20"/>
              </w:rPr>
            </w:pPr>
            <w:r w:rsidRPr="00947E67">
              <w:rPr>
                <w:rFonts w:ascii="Tahoma" w:eastAsia="Times New Roman" w:hAnsi="Tahoma" w:cs="Tahoma"/>
                <w:sz w:val="20"/>
                <w:szCs w:val="20"/>
              </w:rPr>
              <w:t> </w:t>
            </w:r>
          </w:p>
        </w:tc>
        <w:tc>
          <w:tcPr>
            <w:tcW w:w="1126" w:type="pct"/>
            <w:gridSpan w:val="3"/>
            <w:hideMark/>
          </w:tcPr>
          <w:p w14:paraId="26E247EF" w14:textId="77777777" w:rsidR="00947E67" w:rsidRPr="00947E67" w:rsidRDefault="00947E67" w:rsidP="00947E67">
            <w:pPr>
              <w:jc w:val="right"/>
              <w:rPr>
                <w:rFonts w:ascii="Tahoma" w:eastAsia="Times New Roman" w:hAnsi="Tahoma" w:cs="Tahoma"/>
                <w:sz w:val="18"/>
                <w:szCs w:val="18"/>
              </w:rPr>
            </w:pPr>
            <w:r w:rsidRPr="00947E67">
              <w:rPr>
                <w:rFonts w:ascii="Tahoma" w:eastAsia="Times New Roman" w:hAnsi="Tahoma" w:cs="Tahoma"/>
                <w:b/>
                <w:bCs/>
                <w:i/>
                <w:iCs/>
                <w:sz w:val="18"/>
                <w:szCs w:val="18"/>
              </w:rPr>
              <w:t>Recent Status:   </w:t>
            </w:r>
          </w:p>
        </w:tc>
        <w:tc>
          <w:tcPr>
            <w:tcW w:w="3211" w:type="pct"/>
            <w:gridSpan w:val="3"/>
            <w:vAlign w:val="center"/>
            <w:hideMark/>
          </w:tcPr>
          <w:p w14:paraId="51EE5345" w14:textId="77777777" w:rsidR="00947E67" w:rsidRPr="00947E67" w:rsidRDefault="00947E67" w:rsidP="00947E67">
            <w:pPr>
              <w:rPr>
                <w:rFonts w:ascii="Tahoma" w:eastAsia="Times New Roman" w:hAnsi="Tahoma" w:cs="Tahoma"/>
                <w:sz w:val="20"/>
                <w:szCs w:val="20"/>
              </w:rPr>
            </w:pPr>
            <w:r w:rsidRPr="00947E67">
              <w:rPr>
                <w:rFonts w:ascii="Tahoma" w:eastAsia="Times New Roman" w:hAnsi="Tahoma" w:cs="Tahoma"/>
                <w:sz w:val="20"/>
                <w:szCs w:val="20"/>
              </w:rPr>
              <w:t>2/23/2023 - Second reading ordered engrossed</w:t>
            </w:r>
            <w:r w:rsidRPr="00947E67">
              <w:rPr>
                <w:rFonts w:ascii="Tahoma" w:eastAsia="Times New Roman" w:hAnsi="Tahoma" w:cs="Tahoma"/>
                <w:sz w:val="20"/>
                <w:szCs w:val="20"/>
              </w:rPr>
              <w:br/>
              <w:t>2/23/2023 - Senate Bills on Second Reading</w:t>
            </w:r>
          </w:p>
        </w:tc>
      </w:tr>
      <w:tr w:rsidR="00947E67" w:rsidRPr="00947E67" w14:paraId="29B9C555" w14:textId="77777777" w:rsidTr="00947E67">
        <w:trPr>
          <w:gridAfter w:val="1"/>
          <w:tblCellSpacing w:w="15" w:type="dxa"/>
        </w:trPr>
        <w:tc>
          <w:tcPr>
            <w:tcW w:w="0" w:type="auto"/>
            <w:gridSpan w:val="2"/>
            <w:vAlign w:val="center"/>
            <w:hideMark/>
          </w:tcPr>
          <w:p w14:paraId="1A83958A" w14:textId="77777777" w:rsidR="00947E67" w:rsidRPr="00947E67" w:rsidRDefault="00947E67" w:rsidP="00947E67">
            <w:pPr>
              <w:rPr>
                <w:rFonts w:ascii="Tahoma" w:eastAsia="Times New Roman" w:hAnsi="Tahoma" w:cs="Tahoma"/>
                <w:sz w:val="20"/>
                <w:szCs w:val="20"/>
              </w:rPr>
            </w:pPr>
            <w:r w:rsidRPr="00947E67">
              <w:rPr>
                <w:rFonts w:ascii="Tahoma" w:eastAsia="Times New Roman" w:hAnsi="Tahoma" w:cs="Tahoma"/>
                <w:sz w:val="20"/>
                <w:szCs w:val="20"/>
              </w:rPr>
              <w:t> </w:t>
            </w:r>
          </w:p>
        </w:tc>
        <w:tc>
          <w:tcPr>
            <w:tcW w:w="1126" w:type="pct"/>
            <w:gridSpan w:val="3"/>
            <w:hideMark/>
          </w:tcPr>
          <w:p w14:paraId="450C8ADA" w14:textId="77777777" w:rsidR="00947E67" w:rsidRPr="00947E67" w:rsidRDefault="00947E67" w:rsidP="00947E67">
            <w:pPr>
              <w:jc w:val="right"/>
              <w:rPr>
                <w:rFonts w:ascii="Tahoma" w:eastAsia="Times New Roman" w:hAnsi="Tahoma" w:cs="Tahoma"/>
                <w:sz w:val="18"/>
                <w:szCs w:val="18"/>
              </w:rPr>
            </w:pPr>
            <w:r w:rsidRPr="00947E67">
              <w:rPr>
                <w:rFonts w:ascii="Tahoma" w:eastAsia="Times New Roman" w:hAnsi="Tahoma" w:cs="Tahoma"/>
                <w:b/>
                <w:bCs/>
                <w:i/>
                <w:iCs/>
                <w:sz w:val="18"/>
                <w:szCs w:val="18"/>
              </w:rPr>
              <w:t>State Bill Page:   </w:t>
            </w:r>
          </w:p>
        </w:tc>
        <w:tc>
          <w:tcPr>
            <w:tcW w:w="3211" w:type="pct"/>
            <w:gridSpan w:val="3"/>
            <w:vAlign w:val="center"/>
            <w:hideMark/>
          </w:tcPr>
          <w:p w14:paraId="0D379E1F" w14:textId="77777777" w:rsidR="00947E67" w:rsidRPr="00947E67" w:rsidRDefault="00947E67" w:rsidP="00947E67">
            <w:pPr>
              <w:rPr>
                <w:rFonts w:ascii="Tahoma" w:eastAsia="Times New Roman" w:hAnsi="Tahoma" w:cs="Tahoma"/>
                <w:sz w:val="20"/>
                <w:szCs w:val="20"/>
              </w:rPr>
            </w:pPr>
            <w:hyperlink r:id="rId12" w:tgtFrame="_blank" w:history="1">
              <w:r w:rsidRPr="00947E67">
                <w:rPr>
                  <w:rFonts w:ascii="Tahoma" w:eastAsia="Times New Roman" w:hAnsi="Tahoma" w:cs="Tahoma"/>
                  <w:color w:val="0000FF"/>
                  <w:sz w:val="20"/>
                  <w:szCs w:val="20"/>
                  <w:u w:val="single"/>
                </w:rPr>
                <w:t>SB419</w:t>
              </w:r>
            </w:hyperlink>
          </w:p>
        </w:tc>
      </w:tr>
    </w:tbl>
    <w:p w14:paraId="4AA17E32" w14:textId="77777777" w:rsidR="00E9463A" w:rsidRDefault="00E9463A" w:rsidP="00912B52">
      <w:pPr>
        <w:keepNext/>
        <w:keepLines/>
        <w:pBdr>
          <w:bottom w:val="single" w:sz="4" w:space="1" w:color="auto"/>
        </w:pBdr>
        <w:spacing w:after="120"/>
        <w:rPr>
          <w:rFonts w:asciiTheme="minorHAnsi" w:eastAsia="Times New Roman" w:hAnsiTheme="minorHAnsi" w:cstheme="minorHAnsi"/>
          <w:b/>
          <w:bCs/>
          <w:color w:val="0070C0"/>
          <w:sz w:val="32"/>
          <w:szCs w:val="32"/>
          <w:u w:val="single"/>
        </w:rPr>
      </w:pPr>
    </w:p>
    <w:p w14:paraId="42434A2F" w14:textId="76966510" w:rsidR="00FE51D5" w:rsidRPr="00B63038" w:rsidRDefault="00FE51D5" w:rsidP="00912B52">
      <w:pPr>
        <w:keepNext/>
        <w:keepLines/>
        <w:pBdr>
          <w:bottom w:val="single" w:sz="4" w:space="1" w:color="auto"/>
        </w:pBdr>
        <w:spacing w:after="120"/>
        <w:rPr>
          <w:rFonts w:asciiTheme="minorHAnsi" w:eastAsia="Times New Roman" w:hAnsiTheme="minorHAnsi" w:cstheme="minorHAnsi"/>
          <w:b/>
          <w:bCs/>
          <w:color w:val="0070C0"/>
          <w:sz w:val="32"/>
          <w:szCs w:val="32"/>
          <w:u w:val="single"/>
        </w:rPr>
      </w:pPr>
      <w:r w:rsidRPr="00B63038">
        <w:rPr>
          <w:rFonts w:asciiTheme="minorHAnsi" w:eastAsia="Times New Roman" w:hAnsiTheme="minorHAnsi" w:cstheme="minorHAnsi"/>
          <w:b/>
          <w:bCs/>
          <w:color w:val="0070C0"/>
          <w:sz w:val="32"/>
          <w:szCs w:val="32"/>
          <w:u w:val="single"/>
        </w:rPr>
        <w:t>PLANNING</w:t>
      </w:r>
      <w:r w:rsidR="00057490" w:rsidRPr="00B63038">
        <w:rPr>
          <w:rFonts w:asciiTheme="minorHAnsi" w:eastAsia="Times New Roman" w:hAnsiTheme="minorHAnsi" w:cstheme="minorHAnsi"/>
          <w:b/>
          <w:bCs/>
          <w:color w:val="0070C0"/>
          <w:sz w:val="32"/>
          <w:szCs w:val="32"/>
          <w:u w:val="single"/>
        </w:rPr>
        <w:t>,</w:t>
      </w:r>
      <w:r w:rsidRPr="00B63038">
        <w:rPr>
          <w:rFonts w:asciiTheme="minorHAnsi" w:eastAsia="Times New Roman" w:hAnsiTheme="minorHAnsi" w:cstheme="minorHAnsi"/>
          <w:b/>
          <w:bCs/>
          <w:color w:val="0070C0"/>
          <w:sz w:val="32"/>
          <w:szCs w:val="32"/>
          <w:u w:val="single"/>
        </w:rPr>
        <w:t xml:space="preserve"> ZONING</w:t>
      </w:r>
      <w:r w:rsidR="00057490" w:rsidRPr="00B63038">
        <w:rPr>
          <w:rFonts w:asciiTheme="minorHAnsi" w:eastAsia="Times New Roman" w:hAnsiTheme="minorHAnsi" w:cstheme="minorHAnsi"/>
          <w:b/>
          <w:bCs/>
          <w:color w:val="0070C0"/>
          <w:sz w:val="32"/>
          <w:szCs w:val="32"/>
          <w:u w:val="single"/>
        </w:rPr>
        <w:t>, &amp; MUNICIPAL LAW</w:t>
      </w:r>
    </w:p>
    <w:tbl>
      <w:tblPr>
        <w:tblW w:w="5000" w:type="pct"/>
        <w:tblCellSpacing w:w="15" w:type="dxa"/>
        <w:tblCellMar>
          <w:left w:w="0" w:type="dxa"/>
          <w:right w:w="0" w:type="dxa"/>
        </w:tblCellMar>
        <w:tblLook w:val="04A0" w:firstRow="1" w:lastRow="0" w:firstColumn="1" w:lastColumn="0" w:noHBand="0" w:noVBand="1"/>
      </w:tblPr>
      <w:tblGrid>
        <w:gridCol w:w="1359"/>
        <w:gridCol w:w="2556"/>
        <w:gridCol w:w="6309"/>
      </w:tblGrid>
      <w:tr w:rsidR="00C4652A" w:rsidRPr="00C4652A" w14:paraId="4445C0D9" w14:textId="77777777" w:rsidTr="006C2CC7">
        <w:trPr>
          <w:tblCellSpacing w:w="15" w:type="dxa"/>
        </w:trPr>
        <w:tc>
          <w:tcPr>
            <w:tcW w:w="650" w:type="pct"/>
            <w:hideMark/>
          </w:tcPr>
          <w:p w14:paraId="4D26F487" w14:textId="77777777" w:rsidR="00C4652A" w:rsidRPr="00C4652A" w:rsidRDefault="00C4652A" w:rsidP="00C4652A">
            <w:pPr>
              <w:rPr>
                <w:rFonts w:ascii="Tahoma" w:eastAsia="Times New Roman" w:hAnsi="Tahoma" w:cs="Tahoma"/>
                <w:sz w:val="20"/>
                <w:szCs w:val="20"/>
              </w:rPr>
            </w:pPr>
            <w:r w:rsidRPr="00C4652A">
              <w:rPr>
                <w:rFonts w:ascii="Tahoma" w:eastAsia="Times New Roman" w:hAnsi="Tahoma" w:cs="Tahoma"/>
                <w:b/>
                <w:bCs/>
                <w:sz w:val="20"/>
                <w:szCs w:val="20"/>
              </w:rPr>
              <w:t>HB1315</w:t>
            </w:r>
          </w:p>
        </w:tc>
        <w:tc>
          <w:tcPr>
            <w:tcW w:w="0" w:type="auto"/>
            <w:gridSpan w:val="2"/>
            <w:vAlign w:val="center"/>
            <w:hideMark/>
          </w:tcPr>
          <w:p w14:paraId="6A7FCF6F" w14:textId="77777777" w:rsidR="00C4652A" w:rsidRPr="00C4652A" w:rsidRDefault="00C4652A" w:rsidP="00C4652A">
            <w:pPr>
              <w:rPr>
                <w:rFonts w:ascii="Tahoma" w:eastAsia="Times New Roman" w:hAnsi="Tahoma" w:cs="Tahoma"/>
                <w:sz w:val="20"/>
                <w:szCs w:val="20"/>
              </w:rPr>
            </w:pPr>
            <w:r w:rsidRPr="00C4652A">
              <w:rPr>
                <w:rFonts w:ascii="Tahoma" w:eastAsia="Times New Roman" w:hAnsi="Tahoma" w:cs="Tahoma"/>
                <w:b/>
                <w:bCs/>
                <w:sz w:val="20"/>
                <w:szCs w:val="20"/>
              </w:rPr>
              <w:t>ZONING AND HOME WARRANTIES</w:t>
            </w:r>
            <w:r w:rsidRPr="00C4652A">
              <w:rPr>
                <w:rFonts w:ascii="Tahoma" w:eastAsia="Times New Roman" w:hAnsi="Tahoma" w:cs="Tahoma"/>
                <w:sz w:val="20"/>
                <w:szCs w:val="20"/>
              </w:rPr>
              <w:t xml:space="preserve"> (MILLER D) Allows a builder to disclaim implied warranties for a new home that is first occupied by a person renting the home as a residence from the initial home buyer. Allows a builder to disclaim implied warranties on a model home in the same manner as a home that is first occupied as a residence. Prohibits a county, city, or town from exercising its planning and zoning authority in a way that differentiates between fraternity and sorority houses based upon whether the fraternity or sorority is officially approved or recognized by the college or university.</w:t>
            </w:r>
          </w:p>
        </w:tc>
      </w:tr>
      <w:tr w:rsidR="00C4652A" w:rsidRPr="00C4652A" w14:paraId="6D38C111" w14:textId="77777777" w:rsidTr="006C2CC7">
        <w:trPr>
          <w:tblCellSpacing w:w="15" w:type="dxa"/>
        </w:trPr>
        <w:tc>
          <w:tcPr>
            <w:tcW w:w="0" w:type="auto"/>
            <w:vAlign w:val="center"/>
            <w:hideMark/>
          </w:tcPr>
          <w:p w14:paraId="43041169" w14:textId="77777777" w:rsidR="00C4652A" w:rsidRPr="00C4652A" w:rsidRDefault="00C4652A" w:rsidP="00C4652A">
            <w:pPr>
              <w:rPr>
                <w:rFonts w:ascii="Tahoma" w:eastAsia="Times New Roman" w:hAnsi="Tahoma" w:cs="Tahoma"/>
                <w:sz w:val="20"/>
                <w:szCs w:val="20"/>
              </w:rPr>
            </w:pPr>
            <w:r w:rsidRPr="00C4652A">
              <w:rPr>
                <w:rFonts w:ascii="Tahoma" w:eastAsia="Times New Roman" w:hAnsi="Tahoma" w:cs="Tahoma"/>
                <w:sz w:val="20"/>
                <w:szCs w:val="20"/>
              </w:rPr>
              <w:t> </w:t>
            </w:r>
          </w:p>
        </w:tc>
        <w:tc>
          <w:tcPr>
            <w:tcW w:w="1250" w:type="pct"/>
            <w:hideMark/>
          </w:tcPr>
          <w:p w14:paraId="0E1CB50D" w14:textId="77777777" w:rsidR="00C4652A" w:rsidRPr="00C4652A" w:rsidRDefault="00C4652A" w:rsidP="00C4652A">
            <w:pPr>
              <w:jc w:val="right"/>
              <w:rPr>
                <w:rFonts w:ascii="Tahoma" w:eastAsia="Times New Roman" w:hAnsi="Tahoma" w:cs="Tahoma"/>
                <w:sz w:val="18"/>
                <w:szCs w:val="18"/>
              </w:rPr>
            </w:pPr>
            <w:r w:rsidRPr="00C4652A">
              <w:rPr>
                <w:rFonts w:ascii="Tahoma" w:eastAsia="Times New Roman" w:hAnsi="Tahoma" w:cs="Tahoma"/>
                <w:b/>
                <w:bCs/>
                <w:i/>
                <w:iCs/>
                <w:sz w:val="18"/>
                <w:szCs w:val="18"/>
              </w:rPr>
              <w:t>Current Status:   </w:t>
            </w:r>
          </w:p>
        </w:tc>
        <w:tc>
          <w:tcPr>
            <w:tcW w:w="0" w:type="auto"/>
            <w:vAlign w:val="center"/>
            <w:hideMark/>
          </w:tcPr>
          <w:p w14:paraId="7E5A6745" w14:textId="77777777" w:rsidR="00C4652A" w:rsidRPr="00C4652A" w:rsidRDefault="00C4652A" w:rsidP="00C4652A">
            <w:pPr>
              <w:rPr>
                <w:rFonts w:ascii="Tahoma" w:eastAsia="Times New Roman" w:hAnsi="Tahoma" w:cs="Tahoma"/>
                <w:sz w:val="20"/>
                <w:szCs w:val="20"/>
              </w:rPr>
            </w:pPr>
            <w:r w:rsidRPr="00C4652A">
              <w:rPr>
                <w:rFonts w:ascii="Tahoma" w:eastAsia="Times New Roman" w:hAnsi="Tahoma" w:cs="Tahoma"/>
                <w:sz w:val="20"/>
                <w:szCs w:val="20"/>
              </w:rPr>
              <w:t>2/23/2023 - Referred to Senate Local Government</w:t>
            </w:r>
          </w:p>
        </w:tc>
      </w:tr>
      <w:tr w:rsidR="00C4652A" w:rsidRPr="00C4652A" w14:paraId="0C79F039" w14:textId="77777777" w:rsidTr="006C2CC7">
        <w:trPr>
          <w:tblCellSpacing w:w="15" w:type="dxa"/>
        </w:trPr>
        <w:tc>
          <w:tcPr>
            <w:tcW w:w="0" w:type="auto"/>
            <w:vAlign w:val="center"/>
            <w:hideMark/>
          </w:tcPr>
          <w:p w14:paraId="3553A4E2" w14:textId="77777777" w:rsidR="00C4652A" w:rsidRPr="00C4652A" w:rsidRDefault="00C4652A" w:rsidP="00C4652A">
            <w:pPr>
              <w:rPr>
                <w:rFonts w:ascii="Tahoma" w:eastAsia="Times New Roman" w:hAnsi="Tahoma" w:cs="Tahoma"/>
                <w:sz w:val="20"/>
                <w:szCs w:val="20"/>
              </w:rPr>
            </w:pPr>
            <w:r w:rsidRPr="00C4652A">
              <w:rPr>
                <w:rFonts w:ascii="Tahoma" w:eastAsia="Times New Roman" w:hAnsi="Tahoma" w:cs="Tahoma"/>
                <w:sz w:val="20"/>
                <w:szCs w:val="20"/>
              </w:rPr>
              <w:t> </w:t>
            </w:r>
          </w:p>
        </w:tc>
        <w:tc>
          <w:tcPr>
            <w:tcW w:w="1250" w:type="pct"/>
            <w:hideMark/>
          </w:tcPr>
          <w:p w14:paraId="64E947BE" w14:textId="77777777" w:rsidR="00C4652A" w:rsidRPr="00C4652A" w:rsidRDefault="00C4652A" w:rsidP="00C4652A">
            <w:pPr>
              <w:jc w:val="right"/>
              <w:rPr>
                <w:rFonts w:ascii="Tahoma" w:eastAsia="Times New Roman" w:hAnsi="Tahoma" w:cs="Tahoma"/>
                <w:sz w:val="18"/>
                <w:szCs w:val="18"/>
              </w:rPr>
            </w:pPr>
            <w:r w:rsidRPr="00C4652A">
              <w:rPr>
                <w:rFonts w:ascii="Tahoma" w:eastAsia="Times New Roman" w:hAnsi="Tahoma" w:cs="Tahoma"/>
                <w:b/>
                <w:bCs/>
                <w:i/>
                <w:iCs/>
                <w:sz w:val="18"/>
                <w:szCs w:val="18"/>
              </w:rPr>
              <w:t>Recent Status:   </w:t>
            </w:r>
          </w:p>
        </w:tc>
        <w:tc>
          <w:tcPr>
            <w:tcW w:w="0" w:type="auto"/>
            <w:vAlign w:val="center"/>
            <w:hideMark/>
          </w:tcPr>
          <w:p w14:paraId="64723577" w14:textId="77777777" w:rsidR="00C4652A" w:rsidRPr="00C4652A" w:rsidRDefault="00C4652A" w:rsidP="00C4652A">
            <w:pPr>
              <w:rPr>
                <w:rFonts w:ascii="Tahoma" w:eastAsia="Times New Roman" w:hAnsi="Tahoma" w:cs="Tahoma"/>
                <w:sz w:val="20"/>
                <w:szCs w:val="20"/>
              </w:rPr>
            </w:pPr>
            <w:r w:rsidRPr="00C4652A">
              <w:rPr>
                <w:rFonts w:ascii="Tahoma" w:eastAsia="Times New Roman" w:hAnsi="Tahoma" w:cs="Tahoma"/>
                <w:sz w:val="20"/>
                <w:szCs w:val="20"/>
              </w:rPr>
              <w:t>2/23/2023 - First Reading</w:t>
            </w:r>
            <w:r w:rsidRPr="00C4652A">
              <w:rPr>
                <w:rFonts w:ascii="Tahoma" w:eastAsia="Times New Roman" w:hAnsi="Tahoma" w:cs="Tahoma"/>
                <w:sz w:val="20"/>
                <w:szCs w:val="20"/>
              </w:rPr>
              <w:br/>
              <w:t>1/31/2023 - Senate sponsor: Senator Baldwin</w:t>
            </w:r>
          </w:p>
        </w:tc>
      </w:tr>
      <w:tr w:rsidR="00C4652A" w:rsidRPr="00C4652A" w14:paraId="27FA3A48" w14:textId="77777777" w:rsidTr="006C2CC7">
        <w:trPr>
          <w:tblCellSpacing w:w="15" w:type="dxa"/>
        </w:trPr>
        <w:tc>
          <w:tcPr>
            <w:tcW w:w="0" w:type="auto"/>
            <w:vAlign w:val="center"/>
            <w:hideMark/>
          </w:tcPr>
          <w:p w14:paraId="3D0173F4" w14:textId="77777777" w:rsidR="00C4652A" w:rsidRPr="00C4652A" w:rsidRDefault="00C4652A" w:rsidP="00C4652A">
            <w:pPr>
              <w:rPr>
                <w:rFonts w:ascii="Tahoma" w:eastAsia="Times New Roman" w:hAnsi="Tahoma" w:cs="Tahoma"/>
                <w:sz w:val="20"/>
                <w:szCs w:val="20"/>
              </w:rPr>
            </w:pPr>
            <w:r w:rsidRPr="00C4652A">
              <w:rPr>
                <w:rFonts w:ascii="Tahoma" w:eastAsia="Times New Roman" w:hAnsi="Tahoma" w:cs="Tahoma"/>
                <w:sz w:val="20"/>
                <w:szCs w:val="20"/>
              </w:rPr>
              <w:t> </w:t>
            </w:r>
          </w:p>
        </w:tc>
        <w:tc>
          <w:tcPr>
            <w:tcW w:w="1250" w:type="pct"/>
            <w:hideMark/>
          </w:tcPr>
          <w:p w14:paraId="7BCA28C9" w14:textId="77777777" w:rsidR="00C4652A" w:rsidRPr="00C4652A" w:rsidRDefault="00C4652A" w:rsidP="00C4652A">
            <w:pPr>
              <w:jc w:val="right"/>
              <w:rPr>
                <w:rFonts w:ascii="Tahoma" w:eastAsia="Times New Roman" w:hAnsi="Tahoma" w:cs="Tahoma"/>
                <w:sz w:val="18"/>
                <w:szCs w:val="18"/>
              </w:rPr>
            </w:pPr>
            <w:r w:rsidRPr="00C4652A">
              <w:rPr>
                <w:rFonts w:ascii="Tahoma" w:eastAsia="Times New Roman" w:hAnsi="Tahoma" w:cs="Tahoma"/>
                <w:b/>
                <w:bCs/>
                <w:i/>
                <w:iCs/>
                <w:sz w:val="18"/>
                <w:szCs w:val="18"/>
              </w:rPr>
              <w:t>State Bill Page:   </w:t>
            </w:r>
          </w:p>
        </w:tc>
        <w:tc>
          <w:tcPr>
            <w:tcW w:w="0" w:type="auto"/>
            <w:vAlign w:val="center"/>
            <w:hideMark/>
          </w:tcPr>
          <w:p w14:paraId="158B9C5C" w14:textId="77777777" w:rsidR="00C4652A" w:rsidRPr="00C4652A" w:rsidRDefault="00C4652A" w:rsidP="00C4652A">
            <w:pPr>
              <w:rPr>
                <w:rFonts w:ascii="Tahoma" w:eastAsia="Times New Roman" w:hAnsi="Tahoma" w:cs="Tahoma"/>
                <w:sz w:val="20"/>
                <w:szCs w:val="20"/>
              </w:rPr>
            </w:pPr>
            <w:hyperlink r:id="rId13" w:tgtFrame="_blank" w:history="1">
              <w:r w:rsidRPr="00C4652A">
                <w:rPr>
                  <w:rFonts w:ascii="Tahoma" w:eastAsia="Times New Roman" w:hAnsi="Tahoma" w:cs="Tahoma"/>
                  <w:color w:val="0000FF"/>
                  <w:sz w:val="20"/>
                  <w:szCs w:val="20"/>
                  <w:u w:val="single"/>
                </w:rPr>
                <w:t>HB1315</w:t>
              </w:r>
            </w:hyperlink>
          </w:p>
        </w:tc>
      </w:tr>
    </w:tbl>
    <w:p w14:paraId="73F6D172" w14:textId="77777777" w:rsidR="00073148" w:rsidRPr="00912E91" w:rsidRDefault="00073148" w:rsidP="00FE51D5">
      <w:pPr>
        <w:pBdr>
          <w:bottom w:val="single" w:sz="4" w:space="1" w:color="auto"/>
        </w:pBdr>
        <w:rPr>
          <w:rFonts w:asciiTheme="minorHAnsi" w:eastAsia="Times New Roman" w:hAnsiTheme="minorHAnsi" w:cstheme="minorHAnsi"/>
          <w:b/>
          <w:bCs/>
          <w:sz w:val="32"/>
          <w:szCs w:val="32"/>
        </w:rPr>
      </w:pPr>
    </w:p>
    <w:p w14:paraId="6703E638" w14:textId="2069325C" w:rsidR="00FE51D5" w:rsidRDefault="00FE51D5" w:rsidP="00FE51D5">
      <w:pPr>
        <w:pBdr>
          <w:bottom w:val="single" w:sz="4" w:space="1" w:color="auto"/>
        </w:pBdr>
        <w:rPr>
          <w:rFonts w:asciiTheme="minorHAnsi" w:eastAsia="Times New Roman" w:hAnsiTheme="minorHAnsi" w:cstheme="minorHAnsi"/>
          <w:b/>
          <w:bCs/>
          <w:color w:val="0070C0"/>
          <w:sz w:val="32"/>
          <w:szCs w:val="32"/>
        </w:rPr>
      </w:pPr>
      <w:r>
        <w:rPr>
          <w:rFonts w:asciiTheme="minorHAnsi" w:eastAsia="Times New Roman" w:hAnsiTheme="minorHAnsi" w:cstheme="minorHAnsi"/>
          <w:b/>
          <w:bCs/>
          <w:color w:val="0070C0"/>
          <w:sz w:val="32"/>
          <w:szCs w:val="32"/>
        </w:rPr>
        <w:t>BUILDING REQUIREMENTS</w:t>
      </w:r>
      <w:r w:rsidRPr="002A59E1">
        <w:rPr>
          <w:rFonts w:asciiTheme="minorHAnsi" w:eastAsia="Times New Roman" w:hAnsiTheme="minorHAnsi" w:cstheme="minorHAnsi"/>
          <w:b/>
          <w:bCs/>
          <w:color w:val="0070C0"/>
          <w:sz w:val="32"/>
          <w:szCs w:val="32"/>
        </w:rPr>
        <w:t>    </w:t>
      </w:r>
    </w:p>
    <w:tbl>
      <w:tblPr>
        <w:tblW w:w="5000" w:type="pct"/>
        <w:tblCellSpacing w:w="15" w:type="dxa"/>
        <w:tblCellMar>
          <w:left w:w="0" w:type="dxa"/>
          <w:right w:w="0" w:type="dxa"/>
        </w:tblCellMar>
        <w:tblLook w:val="04A0" w:firstRow="1" w:lastRow="0" w:firstColumn="1" w:lastColumn="0" w:noHBand="0" w:noVBand="1"/>
      </w:tblPr>
      <w:tblGrid>
        <w:gridCol w:w="1359"/>
        <w:gridCol w:w="2556"/>
        <w:gridCol w:w="6309"/>
      </w:tblGrid>
      <w:tr w:rsidR="00BB6FE6" w:rsidRPr="00BB6FE6" w14:paraId="5995CE4C" w14:textId="77777777" w:rsidTr="006C2CC7">
        <w:trPr>
          <w:tblCellSpacing w:w="15" w:type="dxa"/>
        </w:trPr>
        <w:tc>
          <w:tcPr>
            <w:tcW w:w="650" w:type="pct"/>
            <w:hideMark/>
          </w:tcPr>
          <w:p w14:paraId="2FF368F8" w14:textId="77777777" w:rsidR="00BB6FE6" w:rsidRPr="00BB6FE6" w:rsidRDefault="00BB6FE6" w:rsidP="00BB6FE6">
            <w:pPr>
              <w:rPr>
                <w:rFonts w:ascii="Tahoma" w:eastAsia="Times New Roman" w:hAnsi="Tahoma" w:cs="Tahoma"/>
                <w:sz w:val="20"/>
                <w:szCs w:val="20"/>
              </w:rPr>
            </w:pPr>
            <w:r w:rsidRPr="00BB6FE6">
              <w:rPr>
                <w:rFonts w:ascii="Tahoma" w:eastAsia="Times New Roman" w:hAnsi="Tahoma" w:cs="Tahoma"/>
                <w:b/>
                <w:bCs/>
                <w:sz w:val="20"/>
                <w:szCs w:val="20"/>
              </w:rPr>
              <w:t>SB333</w:t>
            </w:r>
          </w:p>
        </w:tc>
        <w:tc>
          <w:tcPr>
            <w:tcW w:w="0" w:type="auto"/>
            <w:gridSpan w:val="2"/>
            <w:vAlign w:val="center"/>
            <w:hideMark/>
          </w:tcPr>
          <w:p w14:paraId="280EC484" w14:textId="77777777" w:rsidR="00BB6FE6" w:rsidRPr="00BB6FE6" w:rsidRDefault="00BB6FE6" w:rsidP="00BB6FE6">
            <w:pPr>
              <w:rPr>
                <w:rFonts w:ascii="Tahoma" w:eastAsia="Times New Roman" w:hAnsi="Tahoma" w:cs="Tahoma"/>
                <w:sz w:val="20"/>
                <w:szCs w:val="20"/>
              </w:rPr>
            </w:pPr>
            <w:r w:rsidRPr="00BB6FE6">
              <w:rPr>
                <w:rFonts w:ascii="Tahoma" w:eastAsia="Times New Roman" w:hAnsi="Tahoma" w:cs="Tahoma"/>
                <w:b/>
                <w:bCs/>
                <w:sz w:val="20"/>
                <w:szCs w:val="20"/>
              </w:rPr>
              <w:t>RULES GOVERNING CERTAIN CONSTRUCTION INSPECTIONS</w:t>
            </w:r>
            <w:r w:rsidRPr="00BB6FE6">
              <w:rPr>
                <w:rFonts w:ascii="Tahoma" w:eastAsia="Times New Roman" w:hAnsi="Tahoma" w:cs="Tahoma"/>
                <w:sz w:val="20"/>
                <w:szCs w:val="20"/>
              </w:rPr>
              <w:t xml:space="preserve"> (MESSMER M) Makes changes to the qualification requirements for an applicant of a design release issued by the state building commissioner.</w:t>
            </w:r>
          </w:p>
        </w:tc>
      </w:tr>
      <w:tr w:rsidR="00BB6FE6" w:rsidRPr="00BB6FE6" w14:paraId="1CB86588" w14:textId="77777777" w:rsidTr="006C2CC7">
        <w:trPr>
          <w:tblCellSpacing w:w="15" w:type="dxa"/>
        </w:trPr>
        <w:tc>
          <w:tcPr>
            <w:tcW w:w="0" w:type="auto"/>
            <w:vAlign w:val="center"/>
            <w:hideMark/>
          </w:tcPr>
          <w:p w14:paraId="63182B59" w14:textId="77777777" w:rsidR="00BB6FE6" w:rsidRPr="00BB6FE6" w:rsidRDefault="00BB6FE6" w:rsidP="00BB6FE6">
            <w:pPr>
              <w:rPr>
                <w:rFonts w:ascii="Tahoma" w:eastAsia="Times New Roman" w:hAnsi="Tahoma" w:cs="Tahoma"/>
                <w:sz w:val="20"/>
                <w:szCs w:val="20"/>
              </w:rPr>
            </w:pPr>
            <w:r w:rsidRPr="00BB6FE6">
              <w:rPr>
                <w:rFonts w:ascii="Tahoma" w:eastAsia="Times New Roman" w:hAnsi="Tahoma" w:cs="Tahoma"/>
                <w:sz w:val="20"/>
                <w:szCs w:val="20"/>
              </w:rPr>
              <w:t> </w:t>
            </w:r>
          </w:p>
        </w:tc>
        <w:tc>
          <w:tcPr>
            <w:tcW w:w="1250" w:type="pct"/>
            <w:hideMark/>
          </w:tcPr>
          <w:p w14:paraId="3143EB32" w14:textId="77777777" w:rsidR="00BB6FE6" w:rsidRPr="00BB6FE6" w:rsidRDefault="00BB6FE6" w:rsidP="00BB6FE6">
            <w:pPr>
              <w:jc w:val="right"/>
              <w:rPr>
                <w:rFonts w:ascii="Tahoma" w:eastAsia="Times New Roman" w:hAnsi="Tahoma" w:cs="Tahoma"/>
                <w:sz w:val="18"/>
                <w:szCs w:val="18"/>
              </w:rPr>
            </w:pPr>
            <w:r w:rsidRPr="00BB6FE6">
              <w:rPr>
                <w:rFonts w:ascii="Tahoma" w:eastAsia="Times New Roman" w:hAnsi="Tahoma" w:cs="Tahoma"/>
                <w:b/>
                <w:bCs/>
                <w:i/>
                <w:iCs/>
                <w:sz w:val="18"/>
                <w:szCs w:val="18"/>
              </w:rPr>
              <w:t>Current Status:   </w:t>
            </w:r>
          </w:p>
        </w:tc>
        <w:tc>
          <w:tcPr>
            <w:tcW w:w="0" w:type="auto"/>
            <w:vAlign w:val="center"/>
            <w:hideMark/>
          </w:tcPr>
          <w:p w14:paraId="15A2AC4B" w14:textId="77777777" w:rsidR="00BB6FE6" w:rsidRPr="00BB6FE6" w:rsidRDefault="00BB6FE6" w:rsidP="00BB6FE6">
            <w:pPr>
              <w:rPr>
                <w:rFonts w:ascii="Tahoma" w:eastAsia="Times New Roman" w:hAnsi="Tahoma" w:cs="Tahoma"/>
                <w:sz w:val="20"/>
                <w:szCs w:val="20"/>
              </w:rPr>
            </w:pPr>
            <w:r w:rsidRPr="00BB6FE6">
              <w:rPr>
                <w:rFonts w:ascii="Tahoma" w:eastAsia="Times New Roman" w:hAnsi="Tahoma" w:cs="Tahoma"/>
                <w:sz w:val="20"/>
                <w:szCs w:val="20"/>
              </w:rPr>
              <w:t>2/23/2023 - Senate Bills on Third Reading</w:t>
            </w:r>
          </w:p>
        </w:tc>
      </w:tr>
      <w:tr w:rsidR="00BB6FE6" w:rsidRPr="00BB6FE6" w14:paraId="15F2BD50" w14:textId="77777777" w:rsidTr="006C2CC7">
        <w:trPr>
          <w:tblCellSpacing w:w="15" w:type="dxa"/>
        </w:trPr>
        <w:tc>
          <w:tcPr>
            <w:tcW w:w="0" w:type="auto"/>
            <w:vAlign w:val="center"/>
            <w:hideMark/>
          </w:tcPr>
          <w:p w14:paraId="691BD34B" w14:textId="77777777" w:rsidR="00BB6FE6" w:rsidRPr="00BB6FE6" w:rsidRDefault="00BB6FE6" w:rsidP="00BB6FE6">
            <w:pPr>
              <w:rPr>
                <w:rFonts w:ascii="Tahoma" w:eastAsia="Times New Roman" w:hAnsi="Tahoma" w:cs="Tahoma"/>
                <w:sz w:val="20"/>
                <w:szCs w:val="20"/>
              </w:rPr>
            </w:pPr>
            <w:r w:rsidRPr="00BB6FE6">
              <w:rPr>
                <w:rFonts w:ascii="Tahoma" w:eastAsia="Times New Roman" w:hAnsi="Tahoma" w:cs="Tahoma"/>
                <w:sz w:val="20"/>
                <w:szCs w:val="20"/>
              </w:rPr>
              <w:t> </w:t>
            </w:r>
          </w:p>
        </w:tc>
        <w:tc>
          <w:tcPr>
            <w:tcW w:w="1250" w:type="pct"/>
            <w:hideMark/>
          </w:tcPr>
          <w:p w14:paraId="6B85C99F" w14:textId="77777777" w:rsidR="00BB6FE6" w:rsidRPr="00BB6FE6" w:rsidRDefault="00BB6FE6" w:rsidP="00BB6FE6">
            <w:pPr>
              <w:jc w:val="right"/>
              <w:rPr>
                <w:rFonts w:ascii="Tahoma" w:eastAsia="Times New Roman" w:hAnsi="Tahoma" w:cs="Tahoma"/>
                <w:sz w:val="18"/>
                <w:szCs w:val="18"/>
              </w:rPr>
            </w:pPr>
            <w:r w:rsidRPr="00BB6FE6">
              <w:rPr>
                <w:rFonts w:ascii="Tahoma" w:eastAsia="Times New Roman" w:hAnsi="Tahoma" w:cs="Tahoma"/>
                <w:b/>
                <w:bCs/>
                <w:i/>
                <w:iCs/>
                <w:sz w:val="18"/>
                <w:szCs w:val="18"/>
              </w:rPr>
              <w:t>Recent Status:   </w:t>
            </w:r>
          </w:p>
        </w:tc>
        <w:tc>
          <w:tcPr>
            <w:tcW w:w="0" w:type="auto"/>
            <w:vAlign w:val="center"/>
            <w:hideMark/>
          </w:tcPr>
          <w:p w14:paraId="0694CFC0" w14:textId="77777777" w:rsidR="00BB6FE6" w:rsidRPr="00BB6FE6" w:rsidRDefault="00BB6FE6" w:rsidP="00BB6FE6">
            <w:pPr>
              <w:rPr>
                <w:rFonts w:ascii="Tahoma" w:eastAsia="Times New Roman" w:hAnsi="Tahoma" w:cs="Tahoma"/>
                <w:sz w:val="20"/>
                <w:szCs w:val="20"/>
              </w:rPr>
            </w:pPr>
            <w:r w:rsidRPr="00BB6FE6">
              <w:rPr>
                <w:rFonts w:ascii="Tahoma" w:eastAsia="Times New Roman" w:hAnsi="Tahoma" w:cs="Tahoma"/>
                <w:sz w:val="20"/>
                <w:szCs w:val="20"/>
              </w:rPr>
              <w:t>2/21/2023 - Senate Bills on Third Reading</w:t>
            </w:r>
            <w:r w:rsidRPr="00BB6FE6">
              <w:rPr>
                <w:rFonts w:ascii="Tahoma" w:eastAsia="Times New Roman" w:hAnsi="Tahoma" w:cs="Tahoma"/>
                <w:sz w:val="20"/>
                <w:szCs w:val="20"/>
              </w:rPr>
              <w:br/>
              <w:t>2/20/2023 - Senate Bills on Third Reading</w:t>
            </w:r>
          </w:p>
        </w:tc>
      </w:tr>
      <w:tr w:rsidR="00BB6FE6" w:rsidRPr="00BB6FE6" w14:paraId="2A3E102F" w14:textId="77777777" w:rsidTr="006C2CC7">
        <w:trPr>
          <w:tblCellSpacing w:w="15" w:type="dxa"/>
        </w:trPr>
        <w:tc>
          <w:tcPr>
            <w:tcW w:w="0" w:type="auto"/>
            <w:vAlign w:val="center"/>
            <w:hideMark/>
          </w:tcPr>
          <w:p w14:paraId="1C556142" w14:textId="77777777" w:rsidR="00BB6FE6" w:rsidRPr="00BB6FE6" w:rsidRDefault="00BB6FE6" w:rsidP="00BB6FE6">
            <w:pPr>
              <w:rPr>
                <w:rFonts w:ascii="Tahoma" w:eastAsia="Times New Roman" w:hAnsi="Tahoma" w:cs="Tahoma"/>
                <w:sz w:val="20"/>
                <w:szCs w:val="20"/>
              </w:rPr>
            </w:pPr>
            <w:r w:rsidRPr="00BB6FE6">
              <w:rPr>
                <w:rFonts w:ascii="Tahoma" w:eastAsia="Times New Roman" w:hAnsi="Tahoma" w:cs="Tahoma"/>
                <w:sz w:val="20"/>
                <w:szCs w:val="20"/>
              </w:rPr>
              <w:t> </w:t>
            </w:r>
          </w:p>
        </w:tc>
        <w:tc>
          <w:tcPr>
            <w:tcW w:w="1250" w:type="pct"/>
            <w:hideMark/>
          </w:tcPr>
          <w:p w14:paraId="1280E77D" w14:textId="77777777" w:rsidR="00BB6FE6" w:rsidRPr="00BB6FE6" w:rsidRDefault="00BB6FE6" w:rsidP="00BB6FE6">
            <w:pPr>
              <w:jc w:val="right"/>
              <w:rPr>
                <w:rFonts w:ascii="Tahoma" w:eastAsia="Times New Roman" w:hAnsi="Tahoma" w:cs="Tahoma"/>
                <w:sz w:val="18"/>
                <w:szCs w:val="18"/>
              </w:rPr>
            </w:pPr>
            <w:r w:rsidRPr="00BB6FE6">
              <w:rPr>
                <w:rFonts w:ascii="Tahoma" w:eastAsia="Times New Roman" w:hAnsi="Tahoma" w:cs="Tahoma"/>
                <w:b/>
                <w:bCs/>
                <w:i/>
                <w:iCs/>
                <w:sz w:val="18"/>
                <w:szCs w:val="18"/>
              </w:rPr>
              <w:t>State Bill Page:   </w:t>
            </w:r>
          </w:p>
        </w:tc>
        <w:tc>
          <w:tcPr>
            <w:tcW w:w="0" w:type="auto"/>
            <w:vAlign w:val="center"/>
            <w:hideMark/>
          </w:tcPr>
          <w:p w14:paraId="763D56F6" w14:textId="77777777" w:rsidR="00BB6FE6" w:rsidRPr="00BB6FE6" w:rsidRDefault="00BB6FE6" w:rsidP="00BB6FE6">
            <w:pPr>
              <w:rPr>
                <w:rFonts w:ascii="Tahoma" w:eastAsia="Times New Roman" w:hAnsi="Tahoma" w:cs="Tahoma"/>
                <w:sz w:val="20"/>
                <w:szCs w:val="20"/>
              </w:rPr>
            </w:pPr>
            <w:hyperlink r:id="rId14" w:tgtFrame="_blank" w:history="1">
              <w:r w:rsidRPr="00BB6FE6">
                <w:rPr>
                  <w:rFonts w:ascii="Tahoma" w:eastAsia="Times New Roman" w:hAnsi="Tahoma" w:cs="Tahoma"/>
                  <w:color w:val="0000FF"/>
                  <w:sz w:val="20"/>
                  <w:szCs w:val="20"/>
                  <w:u w:val="single"/>
                </w:rPr>
                <w:t>SB333</w:t>
              </w:r>
            </w:hyperlink>
          </w:p>
        </w:tc>
      </w:tr>
    </w:tbl>
    <w:p w14:paraId="4972E30C" w14:textId="77777777" w:rsidR="00B61061" w:rsidRPr="002A59E1" w:rsidRDefault="00B61061" w:rsidP="00FE51D5">
      <w:pPr>
        <w:rPr>
          <w:rFonts w:asciiTheme="minorHAnsi" w:eastAsia="Times New Roman" w:hAnsiTheme="minorHAnsi" w:cstheme="minorHAnsi"/>
          <w:b/>
          <w:bCs/>
          <w:color w:val="0070C0"/>
          <w:sz w:val="32"/>
          <w:szCs w:val="32"/>
        </w:rPr>
      </w:pPr>
    </w:p>
    <w:p w14:paraId="73ADA4F3" w14:textId="262A9D8C" w:rsidR="00FE51D5" w:rsidRDefault="00FE51D5" w:rsidP="00FE51D5">
      <w:pPr>
        <w:pBdr>
          <w:bottom w:val="single" w:sz="4" w:space="1" w:color="auto"/>
        </w:pBdr>
        <w:rPr>
          <w:rFonts w:asciiTheme="minorHAnsi" w:eastAsia="Times New Roman" w:hAnsiTheme="minorHAnsi" w:cstheme="minorHAnsi"/>
          <w:b/>
          <w:bCs/>
          <w:color w:val="0070C0"/>
          <w:sz w:val="32"/>
          <w:szCs w:val="32"/>
        </w:rPr>
      </w:pPr>
      <w:r>
        <w:rPr>
          <w:rFonts w:asciiTheme="minorHAnsi" w:eastAsia="Times New Roman" w:hAnsiTheme="minorHAnsi" w:cstheme="minorHAnsi"/>
          <w:b/>
          <w:bCs/>
          <w:color w:val="0070C0"/>
          <w:sz w:val="32"/>
          <w:szCs w:val="32"/>
        </w:rPr>
        <w:t>LANDLORD-TENANT</w:t>
      </w:r>
      <w:r w:rsidRPr="002A59E1">
        <w:rPr>
          <w:rFonts w:asciiTheme="minorHAnsi" w:eastAsia="Times New Roman" w:hAnsiTheme="minorHAnsi" w:cstheme="minorHAnsi"/>
          <w:b/>
          <w:bCs/>
          <w:color w:val="0070C0"/>
          <w:sz w:val="32"/>
          <w:szCs w:val="32"/>
        </w:rPr>
        <w:t>    </w:t>
      </w:r>
    </w:p>
    <w:tbl>
      <w:tblPr>
        <w:tblW w:w="5000" w:type="pct"/>
        <w:tblCellSpacing w:w="15" w:type="dxa"/>
        <w:tblCellMar>
          <w:left w:w="0" w:type="dxa"/>
          <w:right w:w="0" w:type="dxa"/>
        </w:tblCellMar>
        <w:tblLook w:val="04A0" w:firstRow="1" w:lastRow="0" w:firstColumn="1" w:lastColumn="0" w:noHBand="0" w:noVBand="1"/>
      </w:tblPr>
      <w:tblGrid>
        <w:gridCol w:w="1359"/>
        <w:gridCol w:w="2556"/>
        <w:gridCol w:w="6309"/>
      </w:tblGrid>
      <w:tr w:rsidR="00C47D69" w:rsidRPr="00C47D69" w14:paraId="406A53FE" w14:textId="77777777" w:rsidTr="006C2CC7">
        <w:trPr>
          <w:tblCellSpacing w:w="15" w:type="dxa"/>
        </w:trPr>
        <w:tc>
          <w:tcPr>
            <w:tcW w:w="650" w:type="pct"/>
            <w:hideMark/>
          </w:tcPr>
          <w:p w14:paraId="239196A0" w14:textId="77777777" w:rsidR="00C47D69" w:rsidRPr="00C47D69" w:rsidRDefault="00C47D69" w:rsidP="00C47D69">
            <w:pPr>
              <w:rPr>
                <w:rFonts w:ascii="Tahoma" w:eastAsia="Times New Roman" w:hAnsi="Tahoma" w:cs="Tahoma"/>
                <w:sz w:val="20"/>
                <w:szCs w:val="20"/>
              </w:rPr>
            </w:pPr>
            <w:r w:rsidRPr="00C47D69">
              <w:rPr>
                <w:rFonts w:ascii="Tahoma" w:eastAsia="Times New Roman" w:hAnsi="Tahoma" w:cs="Tahoma"/>
                <w:b/>
                <w:bCs/>
                <w:sz w:val="20"/>
                <w:szCs w:val="20"/>
              </w:rPr>
              <w:t>SB202</w:t>
            </w:r>
          </w:p>
        </w:tc>
        <w:tc>
          <w:tcPr>
            <w:tcW w:w="0" w:type="auto"/>
            <w:gridSpan w:val="2"/>
            <w:vAlign w:val="center"/>
            <w:hideMark/>
          </w:tcPr>
          <w:p w14:paraId="234C47C7" w14:textId="77777777" w:rsidR="00C47D69" w:rsidRPr="00C47D69" w:rsidRDefault="00C47D69" w:rsidP="00C47D69">
            <w:pPr>
              <w:rPr>
                <w:rFonts w:ascii="Tahoma" w:eastAsia="Times New Roman" w:hAnsi="Tahoma" w:cs="Tahoma"/>
                <w:sz w:val="20"/>
                <w:szCs w:val="20"/>
              </w:rPr>
            </w:pPr>
            <w:r w:rsidRPr="00C47D69">
              <w:rPr>
                <w:rFonts w:ascii="Tahoma" w:eastAsia="Times New Roman" w:hAnsi="Tahoma" w:cs="Tahoma"/>
                <w:b/>
                <w:bCs/>
                <w:sz w:val="20"/>
                <w:szCs w:val="20"/>
              </w:rPr>
              <w:t>STUDY COMMITTEE</w:t>
            </w:r>
            <w:r w:rsidRPr="00C47D69">
              <w:rPr>
                <w:rFonts w:ascii="Tahoma" w:eastAsia="Times New Roman" w:hAnsi="Tahoma" w:cs="Tahoma"/>
                <w:sz w:val="20"/>
                <w:szCs w:val="20"/>
              </w:rPr>
              <w:t xml:space="preserve"> (</w:t>
            </w:r>
            <w:proofErr w:type="spellStart"/>
            <w:r w:rsidRPr="00C47D69">
              <w:rPr>
                <w:rFonts w:ascii="Tahoma" w:eastAsia="Times New Roman" w:hAnsi="Tahoma" w:cs="Tahoma"/>
                <w:sz w:val="20"/>
                <w:szCs w:val="20"/>
              </w:rPr>
              <w:t>QADDOURA</w:t>
            </w:r>
            <w:proofErr w:type="spellEnd"/>
            <w:r w:rsidRPr="00C47D69">
              <w:rPr>
                <w:rFonts w:ascii="Tahoma" w:eastAsia="Times New Roman" w:hAnsi="Tahoma" w:cs="Tahoma"/>
                <w:sz w:val="20"/>
                <w:szCs w:val="20"/>
              </w:rPr>
              <w:t xml:space="preserve"> F) Urges the legislative council to assign the topic of various housing matters to the appropriate interim study committee.</w:t>
            </w:r>
          </w:p>
        </w:tc>
      </w:tr>
      <w:tr w:rsidR="00C47D69" w:rsidRPr="00C47D69" w14:paraId="0DC3AF66" w14:textId="77777777" w:rsidTr="006C2CC7">
        <w:trPr>
          <w:tblCellSpacing w:w="15" w:type="dxa"/>
        </w:trPr>
        <w:tc>
          <w:tcPr>
            <w:tcW w:w="0" w:type="auto"/>
            <w:vAlign w:val="center"/>
            <w:hideMark/>
          </w:tcPr>
          <w:p w14:paraId="4A2501AD" w14:textId="77777777" w:rsidR="00C47D69" w:rsidRPr="00C47D69" w:rsidRDefault="00C47D69" w:rsidP="00C47D69">
            <w:pPr>
              <w:rPr>
                <w:rFonts w:ascii="Tahoma" w:eastAsia="Times New Roman" w:hAnsi="Tahoma" w:cs="Tahoma"/>
                <w:sz w:val="20"/>
                <w:szCs w:val="20"/>
              </w:rPr>
            </w:pPr>
            <w:r w:rsidRPr="00C47D69">
              <w:rPr>
                <w:rFonts w:ascii="Tahoma" w:eastAsia="Times New Roman" w:hAnsi="Tahoma" w:cs="Tahoma"/>
                <w:sz w:val="20"/>
                <w:szCs w:val="20"/>
              </w:rPr>
              <w:t> </w:t>
            </w:r>
          </w:p>
        </w:tc>
        <w:tc>
          <w:tcPr>
            <w:tcW w:w="1250" w:type="pct"/>
            <w:hideMark/>
          </w:tcPr>
          <w:p w14:paraId="08BE31DA" w14:textId="77777777" w:rsidR="00C47D69" w:rsidRPr="00C47D69" w:rsidRDefault="00C47D69" w:rsidP="00C47D69">
            <w:pPr>
              <w:jc w:val="right"/>
              <w:rPr>
                <w:rFonts w:ascii="Tahoma" w:eastAsia="Times New Roman" w:hAnsi="Tahoma" w:cs="Tahoma"/>
                <w:sz w:val="18"/>
                <w:szCs w:val="18"/>
              </w:rPr>
            </w:pPr>
            <w:r w:rsidRPr="00C47D69">
              <w:rPr>
                <w:rFonts w:ascii="Tahoma" w:eastAsia="Times New Roman" w:hAnsi="Tahoma" w:cs="Tahoma"/>
                <w:b/>
                <w:bCs/>
                <w:i/>
                <w:iCs/>
                <w:sz w:val="18"/>
                <w:szCs w:val="18"/>
              </w:rPr>
              <w:t>Current Status:   </w:t>
            </w:r>
          </w:p>
        </w:tc>
        <w:tc>
          <w:tcPr>
            <w:tcW w:w="0" w:type="auto"/>
            <w:vAlign w:val="center"/>
            <w:hideMark/>
          </w:tcPr>
          <w:p w14:paraId="038B302C" w14:textId="77777777" w:rsidR="00C47D69" w:rsidRPr="00C47D69" w:rsidRDefault="00C47D69" w:rsidP="00C47D69">
            <w:pPr>
              <w:rPr>
                <w:rFonts w:ascii="Tahoma" w:eastAsia="Times New Roman" w:hAnsi="Tahoma" w:cs="Tahoma"/>
                <w:sz w:val="20"/>
                <w:szCs w:val="20"/>
              </w:rPr>
            </w:pPr>
            <w:r w:rsidRPr="00C47D69">
              <w:rPr>
                <w:rFonts w:ascii="Tahoma" w:eastAsia="Times New Roman" w:hAnsi="Tahoma" w:cs="Tahoma"/>
                <w:sz w:val="20"/>
                <w:szCs w:val="20"/>
              </w:rPr>
              <w:t>2/21/2023 - added as coauthor Senator Randolph</w:t>
            </w:r>
          </w:p>
        </w:tc>
      </w:tr>
      <w:tr w:rsidR="00C47D69" w:rsidRPr="00C47D69" w14:paraId="2C2561B4" w14:textId="77777777" w:rsidTr="006C2CC7">
        <w:trPr>
          <w:tblCellSpacing w:w="15" w:type="dxa"/>
        </w:trPr>
        <w:tc>
          <w:tcPr>
            <w:tcW w:w="0" w:type="auto"/>
            <w:vAlign w:val="center"/>
            <w:hideMark/>
          </w:tcPr>
          <w:p w14:paraId="272CA45D" w14:textId="77777777" w:rsidR="00C47D69" w:rsidRPr="00C47D69" w:rsidRDefault="00C47D69" w:rsidP="00C47D69">
            <w:pPr>
              <w:rPr>
                <w:rFonts w:ascii="Tahoma" w:eastAsia="Times New Roman" w:hAnsi="Tahoma" w:cs="Tahoma"/>
                <w:sz w:val="20"/>
                <w:szCs w:val="20"/>
              </w:rPr>
            </w:pPr>
            <w:r w:rsidRPr="00C47D69">
              <w:rPr>
                <w:rFonts w:ascii="Tahoma" w:eastAsia="Times New Roman" w:hAnsi="Tahoma" w:cs="Tahoma"/>
                <w:sz w:val="20"/>
                <w:szCs w:val="20"/>
              </w:rPr>
              <w:t> </w:t>
            </w:r>
          </w:p>
        </w:tc>
        <w:tc>
          <w:tcPr>
            <w:tcW w:w="1250" w:type="pct"/>
            <w:hideMark/>
          </w:tcPr>
          <w:p w14:paraId="76AA421F" w14:textId="77777777" w:rsidR="00C47D69" w:rsidRPr="00C47D69" w:rsidRDefault="00C47D69" w:rsidP="00C47D69">
            <w:pPr>
              <w:jc w:val="right"/>
              <w:rPr>
                <w:rFonts w:ascii="Tahoma" w:eastAsia="Times New Roman" w:hAnsi="Tahoma" w:cs="Tahoma"/>
                <w:sz w:val="18"/>
                <w:szCs w:val="18"/>
              </w:rPr>
            </w:pPr>
            <w:r w:rsidRPr="00C47D69">
              <w:rPr>
                <w:rFonts w:ascii="Tahoma" w:eastAsia="Times New Roman" w:hAnsi="Tahoma" w:cs="Tahoma"/>
                <w:b/>
                <w:bCs/>
                <w:i/>
                <w:iCs/>
                <w:sz w:val="18"/>
                <w:szCs w:val="18"/>
              </w:rPr>
              <w:t>Recent Status:   </w:t>
            </w:r>
          </w:p>
        </w:tc>
        <w:tc>
          <w:tcPr>
            <w:tcW w:w="0" w:type="auto"/>
            <w:vAlign w:val="center"/>
            <w:hideMark/>
          </w:tcPr>
          <w:p w14:paraId="7CB7A442" w14:textId="77777777" w:rsidR="00C47D69" w:rsidRPr="00C47D69" w:rsidRDefault="00C47D69" w:rsidP="00C47D69">
            <w:pPr>
              <w:rPr>
                <w:rFonts w:ascii="Tahoma" w:eastAsia="Times New Roman" w:hAnsi="Tahoma" w:cs="Tahoma"/>
                <w:sz w:val="20"/>
                <w:szCs w:val="20"/>
              </w:rPr>
            </w:pPr>
            <w:r w:rsidRPr="00C47D69">
              <w:rPr>
                <w:rFonts w:ascii="Tahoma" w:eastAsia="Times New Roman" w:hAnsi="Tahoma" w:cs="Tahoma"/>
                <w:sz w:val="20"/>
                <w:szCs w:val="20"/>
              </w:rPr>
              <w:t>2/21/2023 - added as coauthor Senator Baldwin</w:t>
            </w:r>
            <w:r w:rsidRPr="00C47D69">
              <w:rPr>
                <w:rFonts w:ascii="Tahoma" w:eastAsia="Times New Roman" w:hAnsi="Tahoma" w:cs="Tahoma"/>
                <w:sz w:val="20"/>
                <w:szCs w:val="20"/>
              </w:rPr>
              <w:br/>
              <w:t xml:space="preserve">2/21/2023 - Cosponsors: Representatives </w:t>
            </w:r>
            <w:proofErr w:type="spellStart"/>
            <w:r w:rsidRPr="00C47D69">
              <w:rPr>
                <w:rFonts w:ascii="Tahoma" w:eastAsia="Times New Roman" w:hAnsi="Tahoma" w:cs="Tahoma"/>
                <w:sz w:val="20"/>
                <w:szCs w:val="20"/>
              </w:rPr>
              <w:t>Clere</w:t>
            </w:r>
            <w:proofErr w:type="spellEnd"/>
            <w:r w:rsidRPr="00C47D69">
              <w:rPr>
                <w:rFonts w:ascii="Tahoma" w:eastAsia="Times New Roman" w:hAnsi="Tahoma" w:cs="Tahoma"/>
                <w:sz w:val="20"/>
                <w:szCs w:val="20"/>
              </w:rPr>
              <w:t>, Errington, Pryor</w:t>
            </w:r>
          </w:p>
        </w:tc>
      </w:tr>
      <w:tr w:rsidR="00C47D69" w:rsidRPr="00C47D69" w14:paraId="69D5DBD4" w14:textId="77777777" w:rsidTr="006C2CC7">
        <w:trPr>
          <w:tblCellSpacing w:w="15" w:type="dxa"/>
        </w:trPr>
        <w:tc>
          <w:tcPr>
            <w:tcW w:w="0" w:type="auto"/>
            <w:vAlign w:val="center"/>
            <w:hideMark/>
          </w:tcPr>
          <w:p w14:paraId="3121F542" w14:textId="77777777" w:rsidR="00C47D69" w:rsidRPr="00C47D69" w:rsidRDefault="00C47D69" w:rsidP="00C47D69">
            <w:pPr>
              <w:rPr>
                <w:rFonts w:ascii="Tahoma" w:eastAsia="Times New Roman" w:hAnsi="Tahoma" w:cs="Tahoma"/>
                <w:sz w:val="20"/>
                <w:szCs w:val="20"/>
              </w:rPr>
            </w:pPr>
            <w:r w:rsidRPr="00C47D69">
              <w:rPr>
                <w:rFonts w:ascii="Tahoma" w:eastAsia="Times New Roman" w:hAnsi="Tahoma" w:cs="Tahoma"/>
                <w:sz w:val="20"/>
                <w:szCs w:val="20"/>
              </w:rPr>
              <w:t> </w:t>
            </w:r>
          </w:p>
        </w:tc>
        <w:tc>
          <w:tcPr>
            <w:tcW w:w="1250" w:type="pct"/>
            <w:hideMark/>
          </w:tcPr>
          <w:p w14:paraId="7ECAA7A9" w14:textId="77777777" w:rsidR="00C47D69" w:rsidRPr="00C47D69" w:rsidRDefault="00C47D69" w:rsidP="00C47D69">
            <w:pPr>
              <w:jc w:val="right"/>
              <w:rPr>
                <w:rFonts w:ascii="Tahoma" w:eastAsia="Times New Roman" w:hAnsi="Tahoma" w:cs="Tahoma"/>
                <w:sz w:val="18"/>
                <w:szCs w:val="18"/>
              </w:rPr>
            </w:pPr>
            <w:r w:rsidRPr="00C47D69">
              <w:rPr>
                <w:rFonts w:ascii="Tahoma" w:eastAsia="Times New Roman" w:hAnsi="Tahoma" w:cs="Tahoma"/>
                <w:b/>
                <w:bCs/>
                <w:i/>
                <w:iCs/>
                <w:sz w:val="18"/>
                <w:szCs w:val="18"/>
              </w:rPr>
              <w:t>State Bill Page:   </w:t>
            </w:r>
          </w:p>
        </w:tc>
        <w:tc>
          <w:tcPr>
            <w:tcW w:w="0" w:type="auto"/>
            <w:vAlign w:val="center"/>
            <w:hideMark/>
          </w:tcPr>
          <w:p w14:paraId="3F8EF18F" w14:textId="77777777" w:rsidR="00C47D69" w:rsidRPr="00C47D69" w:rsidRDefault="00C47D69" w:rsidP="00C47D69">
            <w:pPr>
              <w:rPr>
                <w:rFonts w:ascii="Tahoma" w:eastAsia="Times New Roman" w:hAnsi="Tahoma" w:cs="Tahoma"/>
                <w:sz w:val="20"/>
                <w:szCs w:val="20"/>
              </w:rPr>
            </w:pPr>
            <w:hyperlink r:id="rId15" w:tgtFrame="_blank" w:history="1">
              <w:r w:rsidRPr="00C47D69">
                <w:rPr>
                  <w:rFonts w:ascii="Tahoma" w:eastAsia="Times New Roman" w:hAnsi="Tahoma" w:cs="Tahoma"/>
                  <w:color w:val="0000FF"/>
                  <w:sz w:val="20"/>
                  <w:szCs w:val="20"/>
                  <w:u w:val="single"/>
                </w:rPr>
                <w:t>SB202</w:t>
              </w:r>
            </w:hyperlink>
          </w:p>
        </w:tc>
      </w:tr>
    </w:tbl>
    <w:p w14:paraId="7BCC32F8" w14:textId="77777777" w:rsidR="00C42931" w:rsidRDefault="00C42931" w:rsidP="00630F3A">
      <w:pPr>
        <w:rPr>
          <w:rFonts w:asciiTheme="minorHAnsi" w:eastAsia="Times New Roman" w:hAnsiTheme="minorHAnsi" w:cstheme="minorHAnsi"/>
          <w:b/>
          <w:bCs/>
          <w:color w:val="0070C0"/>
          <w:sz w:val="32"/>
          <w:szCs w:val="32"/>
        </w:rPr>
      </w:pPr>
    </w:p>
    <w:p w14:paraId="0EDB4BF8" w14:textId="16CC51D9" w:rsidR="00630F3A" w:rsidRDefault="00630F3A" w:rsidP="00113F49">
      <w:pPr>
        <w:rPr>
          <w:rFonts w:asciiTheme="minorHAnsi" w:eastAsia="Times New Roman" w:hAnsiTheme="minorHAnsi" w:cstheme="minorHAnsi"/>
          <w:sz w:val="16"/>
          <w:szCs w:val="16"/>
        </w:rPr>
      </w:pPr>
      <w:r>
        <w:rPr>
          <w:rFonts w:asciiTheme="minorHAnsi" w:eastAsia="Times New Roman" w:hAnsiTheme="minorHAnsi" w:cstheme="minorHAnsi"/>
          <w:b/>
          <w:bCs/>
          <w:color w:val="0070C0"/>
          <w:sz w:val="32"/>
          <w:szCs w:val="32"/>
        </w:rPr>
        <w:t>REAL ESTATE TRANSACTIONS</w:t>
      </w:r>
      <w:r>
        <w:rPr>
          <w:rFonts w:asciiTheme="minorHAnsi" w:eastAsia="Times New Roman" w:hAnsiTheme="minorHAnsi" w:cstheme="minorHAnsi"/>
          <w:b/>
          <w:bCs/>
          <w:color w:val="0070C0"/>
          <w:sz w:val="32"/>
          <w:szCs w:val="32"/>
        </w:rPr>
        <w:br/>
      </w:r>
      <w:r>
        <w:rPr>
          <w:rFonts w:asciiTheme="minorHAnsi" w:eastAsia="Times New Roman" w:hAnsiTheme="minorHAnsi" w:cstheme="minorHAnsi"/>
          <w:sz w:val="16"/>
          <w:szCs w:val="16"/>
        </w:rPr>
        <w:t>________________________________________________________________________________________________________________________________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1359"/>
        <w:gridCol w:w="2556"/>
        <w:gridCol w:w="6309"/>
      </w:tblGrid>
      <w:tr w:rsidR="00B952E8" w:rsidRPr="00B952E8" w14:paraId="26B5A7A2" w14:textId="77777777" w:rsidTr="006C2CC7">
        <w:trPr>
          <w:tblCellSpacing w:w="15" w:type="dxa"/>
        </w:trPr>
        <w:tc>
          <w:tcPr>
            <w:tcW w:w="650" w:type="pct"/>
            <w:hideMark/>
          </w:tcPr>
          <w:p w14:paraId="610C6CC2" w14:textId="77777777" w:rsidR="00B952E8" w:rsidRPr="00B952E8" w:rsidRDefault="00B952E8" w:rsidP="00B952E8">
            <w:pPr>
              <w:rPr>
                <w:rFonts w:ascii="Tahoma" w:eastAsia="Times New Roman" w:hAnsi="Tahoma" w:cs="Tahoma"/>
                <w:sz w:val="20"/>
                <w:szCs w:val="20"/>
              </w:rPr>
            </w:pPr>
            <w:r w:rsidRPr="00B952E8">
              <w:rPr>
                <w:rFonts w:ascii="Tahoma" w:eastAsia="Times New Roman" w:hAnsi="Tahoma" w:cs="Tahoma"/>
                <w:b/>
                <w:bCs/>
                <w:sz w:val="20"/>
                <w:szCs w:val="20"/>
              </w:rPr>
              <w:t>HB1155</w:t>
            </w:r>
          </w:p>
        </w:tc>
        <w:tc>
          <w:tcPr>
            <w:tcW w:w="0" w:type="auto"/>
            <w:gridSpan w:val="2"/>
            <w:vAlign w:val="center"/>
            <w:hideMark/>
          </w:tcPr>
          <w:p w14:paraId="34B534C1" w14:textId="77777777" w:rsidR="00B952E8" w:rsidRPr="00B952E8" w:rsidRDefault="00B952E8" w:rsidP="00B952E8">
            <w:pPr>
              <w:rPr>
                <w:rFonts w:ascii="Tahoma" w:eastAsia="Times New Roman" w:hAnsi="Tahoma" w:cs="Tahoma"/>
                <w:sz w:val="20"/>
                <w:szCs w:val="20"/>
              </w:rPr>
            </w:pPr>
            <w:r w:rsidRPr="00B952E8">
              <w:rPr>
                <w:rFonts w:ascii="Tahoma" w:eastAsia="Times New Roman" w:hAnsi="Tahoma" w:cs="Tahoma"/>
                <w:b/>
                <w:bCs/>
                <w:sz w:val="20"/>
                <w:szCs w:val="20"/>
              </w:rPr>
              <w:t>UNLICENSED REAL ESTATE SOLICITOR</w:t>
            </w:r>
            <w:r w:rsidRPr="00B952E8">
              <w:rPr>
                <w:rFonts w:ascii="Tahoma" w:eastAsia="Times New Roman" w:hAnsi="Tahoma" w:cs="Tahoma"/>
                <w:sz w:val="20"/>
                <w:szCs w:val="20"/>
              </w:rPr>
              <w:t xml:space="preserve"> (</w:t>
            </w:r>
            <w:proofErr w:type="spellStart"/>
            <w:r w:rsidRPr="00B952E8">
              <w:rPr>
                <w:rFonts w:ascii="Tahoma" w:eastAsia="Times New Roman" w:hAnsi="Tahoma" w:cs="Tahoma"/>
                <w:sz w:val="20"/>
                <w:szCs w:val="20"/>
              </w:rPr>
              <w:t>CLERE</w:t>
            </w:r>
            <w:proofErr w:type="spellEnd"/>
            <w:r w:rsidRPr="00B952E8">
              <w:rPr>
                <w:rFonts w:ascii="Tahoma" w:eastAsia="Times New Roman" w:hAnsi="Tahoma" w:cs="Tahoma"/>
                <w:sz w:val="20"/>
                <w:szCs w:val="20"/>
              </w:rPr>
              <w:t xml:space="preserve"> E) Defines an "unlicensed real estate solicitor". Requires an unlicensed real estate solicitor to include a specific solicitation disclosure on all advertisements promoting the unlicensed real estate solicitor's intent to purchase a residential, single-family home. Provides remedies to a homeowner that enters into an agreement with an unlicensed real estate solicitor. Provides that it is a deceptive act enforceable by the attorney general for an unlicensed real estate solicitor to solicit the sale or purchase of real estate through print or broadcast advertising without the required solicitation disclosure.</w:t>
            </w:r>
          </w:p>
        </w:tc>
      </w:tr>
      <w:tr w:rsidR="00B952E8" w:rsidRPr="00B952E8" w14:paraId="1D0B2677" w14:textId="77777777" w:rsidTr="006C2CC7">
        <w:trPr>
          <w:tblCellSpacing w:w="15" w:type="dxa"/>
        </w:trPr>
        <w:tc>
          <w:tcPr>
            <w:tcW w:w="0" w:type="auto"/>
            <w:vAlign w:val="center"/>
            <w:hideMark/>
          </w:tcPr>
          <w:p w14:paraId="21ECAB53" w14:textId="77777777" w:rsidR="00B952E8" w:rsidRPr="00B952E8" w:rsidRDefault="00B952E8" w:rsidP="00B952E8">
            <w:pPr>
              <w:rPr>
                <w:rFonts w:ascii="Tahoma" w:eastAsia="Times New Roman" w:hAnsi="Tahoma" w:cs="Tahoma"/>
                <w:sz w:val="20"/>
                <w:szCs w:val="20"/>
              </w:rPr>
            </w:pPr>
            <w:r w:rsidRPr="00B952E8">
              <w:rPr>
                <w:rFonts w:ascii="Tahoma" w:eastAsia="Times New Roman" w:hAnsi="Tahoma" w:cs="Tahoma"/>
                <w:sz w:val="20"/>
                <w:szCs w:val="20"/>
              </w:rPr>
              <w:t> </w:t>
            </w:r>
          </w:p>
        </w:tc>
        <w:tc>
          <w:tcPr>
            <w:tcW w:w="1250" w:type="pct"/>
            <w:hideMark/>
          </w:tcPr>
          <w:p w14:paraId="0F754ED8" w14:textId="77777777" w:rsidR="00B952E8" w:rsidRPr="00B952E8" w:rsidRDefault="00B952E8" w:rsidP="00B952E8">
            <w:pPr>
              <w:jc w:val="right"/>
              <w:rPr>
                <w:rFonts w:ascii="Tahoma" w:eastAsia="Times New Roman" w:hAnsi="Tahoma" w:cs="Tahoma"/>
                <w:sz w:val="18"/>
                <w:szCs w:val="18"/>
              </w:rPr>
            </w:pPr>
            <w:r w:rsidRPr="00B952E8">
              <w:rPr>
                <w:rFonts w:ascii="Tahoma" w:eastAsia="Times New Roman" w:hAnsi="Tahoma" w:cs="Tahoma"/>
                <w:b/>
                <w:bCs/>
                <w:i/>
                <w:iCs/>
                <w:sz w:val="18"/>
                <w:szCs w:val="18"/>
              </w:rPr>
              <w:t>Current Status:   </w:t>
            </w:r>
          </w:p>
        </w:tc>
        <w:tc>
          <w:tcPr>
            <w:tcW w:w="0" w:type="auto"/>
            <w:vAlign w:val="center"/>
            <w:hideMark/>
          </w:tcPr>
          <w:p w14:paraId="225E7715" w14:textId="77777777" w:rsidR="00B952E8" w:rsidRPr="00B952E8" w:rsidRDefault="00B952E8" w:rsidP="00B952E8">
            <w:pPr>
              <w:rPr>
                <w:rFonts w:ascii="Tahoma" w:eastAsia="Times New Roman" w:hAnsi="Tahoma" w:cs="Tahoma"/>
                <w:sz w:val="20"/>
                <w:szCs w:val="20"/>
              </w:rPr>
            </w:pPr>
            <w:r w:rsidRPr="00B952E8">
              <w:rPr>
                <w:rFonts w:ascii="Tahoma" w:eastAsia="Times New Roman" w:hAnsi="Tahoma" w:cs="Tahoma"/>
                <w:sz w:val="20"/>
                <w:szCs w:val="20"/>
              </w:rPr>
              <w:t>2/22/2023 - Referred to Senate</w:t>
            </w:r>
          </w:p>
        </w:tc>
      </w:tr>
      <w:tr w:rsidR="00B952E8" w:rsidRPr="00B952E8" w14:paraId="3C44B325" w14:textId="77777777" w:rsidTr="006C2CC7">
        <w:trPr>
          <w:tblCellSpacing w:w="15" w:type="dxa"/>
        </w:trPr>
        <w:tc>
          <w:tcPr>
            <w:tcW w:w="0" w:type="auto"/>
            <w:vAlign w:val="center"/>
            <w:hideMark/>
          </w:tcPr>
          <w:p w14:paraId="4FCF61CC" w14:textId="77777777" w:rsidR="00B952E8" w:rsidRPr="00B952E8" w:rsidRDefault="00B952E8" w:rsidP="00B952E8">
            <w:pPr>
              <w:rPr>
                <w:rFonts w:ascii="Tahoma" w:eastAsia="Times New Roman" w:hAnsi="Tahoma" w:cs="Tahoma"/>
                <w:sz w:val="20"/>
                <w:szCs w:val="20"/>
              </w:rPr>
            </w:pPr>
            <w:r w:rsidRPr="00B952E8">
              <w:rPr>
                <w:rFonts w:ascii="Tahoma" w:eastAsia="Times New Roman" w:hAnsi="Tahoma" w:cs="Tahoma"/>
                <w:sz w:val="20"/>
                <w:szCs w:val="20"/>
              </w:rPr>
              <w:t> </w:t>
            </w:r>
          </w:p>
        </w:tc>
        <w:tc>
          <w:tcPr>
            <w:tcW w:w="1250" w:type="pct"/>
            <w:hideMark/>
          </w:tcPr>
          <w:p w14:paraId="61E79C49" w14:textId="77777777" w:rsidR="00B952E8" w:rsidRPr="00B952E8" w:rsidRDefault="00B952E8" w:rsidP="00B952E8">
            <w:pPr>
              <w:jc w:val="right"/>
              <w:rPr>
                <w:rFonts w:ascii="Tahoma" w:eastAsia="Times New Roman" w:hAnsi="Tahoma" w:cs="Tahoma"/>
                <w:sz w:val="18"/>
                <w:szCs w:val="18"/>
              </w:rPr>
            </w:pPr>
            <w:r w:rsidRPr="00B952E8">
              <w:rPr>
                <w:rFonts w:ascii="Tahoma" w:eastAsia="Times New Roman" w:hAnsi="Tahoma" w:cs="Tahoma"/>
                <w:b/>
                <w:bCs/>
                <w:i/>
                <w:iCs/>
                <w:sz w:val="18"/>
                <w:szCs w:val="18"/>
              </w:rPr>
              <w:t>Recent Status:   </w:t>
            </w:r>
          </w:p>
        </w:tc>
        <w:tc>
          <w:tcPr>
            <w:tcW w:w="0" w:type="auto"/>
            <w:vAlign w:val="center"/>
            <w:hideMark/>
          </w:tcPr>
          <w:p w14:paraId="0D6379CF" w14:textId="77777777" w:rsidR="00B952E8" w:rsidRPr="00B952E8" w:rsidRDefault="00B952E8" w:rsidP="00B952E8">
            <w:pPr>
              <w:rPr>
                <w:rFonts w:ascii="Tahoma" w:eastAsia="Times New Roman" w:hAnsi="Tahoma" w:cs="Tahoma"/>
                <w:sz w:val="20"/>
                <w:szCs w:val="20"/>
              </w:rPr>
            </w:pPr>
            <w:r w:rsidRPr="00B952E8">
              <w:rPr>
                <w:rFonts w:ascii="Tahoma" w:eastAsia="Times New Roman" w:hAnsi="Tahoma" w:cs="Tahoma"/>
                <w:sz w:val="20"/>
                <w:szCs w:val="20"/>
              </w:rPr>
              <w:t xml:space="preserve">2/21/2023 - Senate sponsors: Senators Alexander and </w:t>
            </w:r>
            <w:proofErr w:type="spellStart"/>
            <w:r w:rsidRPr="00B952E8">
              <w:rPr>
                <w:rFonts w:ascii="Tahoma" w:eastAsia="Times New Roman" w:hAnsi="Tahoma" w:cs="Tahoma"/>
                <w:sz w:val="20"/>
                <w:szCs w:val="20"/>
              </w:rPr>
              <w:t>Niezgodski</w:t>
            </w:r>
            <w:proofErr w:type="spellEnd"/>
            <w:r w:rsidRPr="00B952E8">
              <w:rPr>
                <w:rFonts w:ascii="Tahoma" w:eastAsia="Times New Roman" w:hAnsi="Tahoma" w:cs="Tahoma"/>
                <w:sz w:val="20"/>
                <w:szCs w:val="20"/>
              </w:rPr>
              <w:br/>
              <w:t>2/21/2023 - Third reading passed; Roll Call 174: yeas 69, nays 25</w:t>
            </w:r>
          </w:p>
        </w:tc>
      </w:tr>
      <w:tr w:rsidR="00B952E8" w:rsidRPr="00B952E8" w14:paraId="1E441DE0" w14:textId="77777777" w:rsidTr="006C2CC7">
        <w:trPr>
          <w:tblCellSpacing w:w="15" w:type="dxa"/>
        </w:trPr>
        <w:tc>
          <w:tcPr>
            <w:tcW w:w="0" w:type="auto"/>
            <w:vAlign w:val="center"/>
            <w:hideMark/>
          </w:tcPr>
          <w:p w14:paraId="32996E14" w14:textId="77777777" w:rsidR="00B952E8" w:rsidRPr="00B952E8" w:rsidRDefault="00B952E8" w:rsidP="00B952E8">
            <w:pPr>
              <w:rPr>
                <w:rFonts w:ascii="Tahoma" w:eastAsia="Times New Roman" w:hAnsi="Tahoma" w:cs="Tahoma"/>
                <w:sz w:val="20"/>
                <w:szCs w:val="20"/>
              </w:rPr>
            </w:pPr>
            <w:r w:rsidRPr="00B952E8">
              <w:rPr>
                <w:rFonts w:ascii="Tahoma" w:eastAsia="Times New Roman" w:hAnsi="Tahoma" w:cs="Tahoma"/>
                <w:sz w:val="20"/>
                <w:szCs w:val="20"/>
              </w:rPr>
              <w:t> </w:t>
            </w:r>
          </w:p>
        </w:tc>
        <w:tc>
          <w:tcPr>
            <w:tcW w:w="1250" w:type="pct"/>
            <w:hideMark/>
          </w:tcPr>
          <w:p w14:paraId="4320D4B9" w14:textId="77777777" w:rsidR="00B952E8" w:rsidRPr="00B952E8" w:rsidRDefault="00B952E8" w:rsidP="00B952E8">
            <w:pPr>
              <w:jc w:val="right"/>
              <w:rPr>
                <w:rFonts w:ascii="Tahoma" w:eastAsia="Times New Roman" w:hAnsi="Tahoma" w:cs="Tahoma"/>
                <w:sz w:val="18"/>
                <w:szCs w:val="18"/>
              </w:rPr>
            </w:pPr>
            <w:r w:rsidRPr="00B952E8">
              <w:rPr>
                <w:rFonts w:ascii="Tahoma" w:eastAsia="Times New Roman" w:hAnsi="Tahoma" w:cs="Tahoma"/>
                <w:b/>
                <w:bCs/>
                <w:i/>
                <w:iCs/>
                <w:sz w:val="18"/>
                <w:szCs w:val="18"/>
              </w:rPr>
              <w:t>State Bill Page:   </w:t>
            </w:r>
          </w:p>
        </w:tc>
        <w:tc>
          <w:tcPr>
            <w:tcW w:w="0" w:type="auto"/>
            <w:vAlign w:val="center"/>
            <w:hideMark/>
          </w:tcPr>
          <w:p w14:paraId="5D8DA6C8" w14:textId="77777777" w:rsidR="00B952E8" w:rsidRPr="00B952E8" w:rsidRDefault="00B952E8" w:rsidP="00B952E8">
            <w:pPr>
              <w:rPr>
                <w:rFonts w:ascii="Tahoma" w:eastAsia="Times New Roman" w:hAnsi="Tahoma" w:cs="Tahoma"/>
                <w:sz w:val="20"/>
                <w:szCs w:val="20"/>
              </w:rPr>
            </w:pPr>
            <w:hyperlink r:id="rId16" w:tgtFrame="_blank" w:history="1">
              <w:r w:rsidRPr="00B952E8">
                <w:rPr>
                  <w:rFonts w:ascii="Tahoma" w:eastAsia="Times New Roman" w:hAnsi="Tahoma" w:cs="Tahoma"/>
                  <w:color w:val="0000FF"/>
                  <w:sz w:val="20"/>
                  <w:szCs w:val="20"/>
                  <w:u w:val="single"/>
                </w:rPr>
                <w:t>HB1155</w:t>
              </w:r>
            </w:hyperlink>
          </w:p>
        </w:tc>
      </w:tr>
    </w:tbl>
    <w:p w14:paraId="435B59CD" w14:textId="77777777" w:rsidR="007E4C76" w:rsidRDefault="007E4C76" w:rsidP="00327972">
      <w:pPr>
        <w:keepNext/>
        <w:pBdr>
          <w:bottom w:val="single" w:sz="4" w:space="1" w:color="auto"/>
        </w:pBdr>
        <w:spacing w:after="240"/>
        <w:rPr>
          <w:rFonts w:asciiTheme="minorHAnsi" w:eastAsia="Times New Roman" w:hAnsiTheme="minorHAnsi" w:cstheme="minorHAnsi"/>
          <w:b/>
          <w:bCs/>
          <w:color w:val="0070C0"/>
          <w:sz w:val="32"/>
          <w:szCs w:val="32"/>
        </w:rPr>
      </w:pPr>
    </w:p>
    <w:p w14:paraId="22D77F93" w14:textId="471E6EAD" w:rsidR="0054673E" w:rsidRDefault="0054673E" w:rsidP="00327972">
      <w:pPr>
        <w:keepNext/>
        <w:pBdr>
          <w:bottom w:val="single" w:sz="4" w:space="1" w:color="auto"/>
        </w:pBdr>
        <w:spacing w:after="240"/>
        <w:rPr>
          <w:rFonts w:asciiTheme="minorHAnsi" w:eastAsia="Times New Roman" w:hAnsiTheme="minorHAnsi" w:cstheme="minorHAnsi"/>
          <w:b/>
          <w:bCs/>
          <w:color w:val="0070C0"/>
          <w:sz w:val="32"/>
          <w:szCs w:val="32"/>
        </w:rPr>
      </w:pPr>
      <w:r>
        <w:rPr>
          <w:rFonts w:asciiTheme="minorHAnsi" w:eastAsia="Times New Roman" w:hAnsiTheme="minorHAnsi" w:cstheme="minorHAnsi"/>
          <w:b/>
          <w:bCs/>
          <w:color w:val="0070C0"/>
          <w:sz w:val="32"/>
          <w:szCs w:val="32"/>
        </w:rPr>
        <w:t>UTILITIES</w:t>
      </w:r>
      <w:r w:rsidRPr="002A59E1">
        <w:rPr>
          <w:rFonts w:asciiTheme="minorHAnsi" w:eastAsia="Times New Roman" w:hAnsiTheme="minorHAnsi" w:cstheme="minorHAnsi"/>
          <w:b/>
          <w:bCs/>
          <w:color w:val="0070C0"/>
          <w:sz w:val="32"/>
          <w:szCs w:val="32"/>
        </w:rPr>
        <w:t>    </w:t>
      </w:r>
    </w:p>
    <w:tbl>
      <w:tblPr>
        <w:tblW w:w="5000" w:type="pct"/>
        <w:tblCellSpacing w:w="15" w:type="dxa"/>
        <w:tblCellMar>
          <w:left w:w="0" w:type="dxa"/>
          <w:right w:w="0" w:type="dxa"/>
        </w:tblCellMar>
        <w:tblLook w:val="04A0" w:firstRow="1" w:lastRow="0" w:firstColumn="1" w:lastColumn="0" w:noHBand="0" w:noVBand="1"/>
      </w:tblPr>
      <w:tblGrid>
        <w:gridCol w:w="1359"/>
        <w:gridCol w:w="2556"/>
        <w:gridCol w:w="6309"/>
      </w:tblGrid>
      <w:tr w:rsidR="00990CA1" w:rsidRPr="00990CA1" w14:paraId="539DC3F7" w14:textId="77777777" w:rsidTr="006C2CC7">
        <w:trPr>
          <w:tblCellSpacing w:w="15" w:type="dxa"/>
        </w:trPr>
        <w:tc>
          <w:tcPr>
            <w:tcW w:w="650" w:type="pct"/>
            <w:hideMark/>
          </w:tcPr>
          <w:p w14:paraId="422BCA6F" w14:textId="77777777" w:rsidR="00990CA1" w:rsidRPr="00990CA1" w:rsidRDefault="00990CA1" w:rsidP="00990CA1">
            <w:pPr>
              <w:rPr>
                <w:rFonts w:ascii="Tahoma" w:eastAsia="Times New Roman" w:hAnsi="Tahoma" w:cs="Tahoma"/>
                <w:sz w:val="20"/>
                <w:szCs w:val="20"/>
              </w:rPr>
            </w:pPr>
            <w:r w:rsidRPr="00990CA1">
              <w:rPr>
                <w:rFonts w:ascii="Tahoma" w:eastAsia="Times New Roman" w:hAnsi="Tahoma" w:cs="Tahoma"/>
                <w:b/>
                <w:bCs/>
                <w:sz w:val="20"/>
                <w:szCs w:val="20"/>
              </w:rPr>
              <w:t>SB9</w:t>
            </w:r>
          </w:p>
        </w:tc>
        <w:tc>
          <w:tcPr>
            <w:tcW w:w="0" w:type="auto"/>
            <w:gridSpan w:val="2"/>
            <w:vAlign w:val="center"/>
            <w:hideMark/>
          </w:tcPr>
          <w:p w14:paraId="2501DD91" w14:textId="77777777" w:rsidR="00990CA1" w:rsidRPr="00990CA1" w:rsidRDefault="00990CA1" w:rsidP="00990CA1">
            <w:pPr>
              <w:rPr>
                <w:rFonts w:ascii="Tahoma" w:eastAsia="Times New Roman" w:hAnsi="Tahoma" w:cs="Tahoma"/>
                <w:sz w:val="20"/>
                <w:szCs w:val="20"/>
              </w:rPr>
            </w:pPr>
            <w:r w:rsidRPr="00990CA1">
              <w:rPr>
                <w:rFonts w:ascii="Tahoma" w:eastAsia="Times New Roman" w:hAnsi="Tahoma" w:cs="Tahoma"/>
                <w:b/>
                <w:bCs/>
                <w:sz w:val="20"/>
                <w:szCs w:val="20"/>
              </w:rPr>
              <w:t>ELECTRIC SERVICE RELIABILITY</w:t>
            </w:r>
            <w:r w:rsidRPr="00990CA1">
              <w:rPr>
                <w:rFonts w:ascii="Tahoma" w:eastAsia="Times New Roman" w:hAnsi="Tahoma" w:cs="Tahoma"/>
                <w:sz w:val="20"/>
                <w:szCs w:val="20"/>
              </w:rPr>
              <w:t xml:space="preserve"> (</w:t>
            </w:r>
            <w:proofErr w:type="spellStart"/>
            <w:r w:rsidRPr="00990CA1">
              <w:rPr>
                <w:rFonts w:ascii="Tahoma" w:eastAsia="Times New Roman" w:hAnsi="Tahoma" w:cs="Tahoma"/>
                <w:sz w:val="20"/>
                <w:szCs w:val="20"/>
              </w:rPr>
              <w:t>LEISING</w:t>
            </w:r>
            <w:proofErr w:type="spellEnd"/>
            <w:r w:rsidRPr="00990CA1">
              <w:rPr>
                <w:rFonts w:ascii="Tahoma" w:eastAsia="Times New Roman" w:hAnsi="Tahoma" w:cs="Tahoma"/>
                <w:sz w:val="20"/>
                <w:szCs w:val="20"/>
              </w:rPr>
              <w:t xml:space="preserve"> J) Requires a public utility to notify the Indiana utility regulatory commission (</w:t>
            </w:r>
            <w:proofErr w:type="spellStart"/>
            <w:r w:rsidRPr="00990CA1">
              <w:rPr>
                <w:rFonts w:ascii="Tahoma" w:eastAsia="Times New Roman" w:hAnsi="Tahoma" w:cs="Tahoma"/>
                <w:sz w:val="20"/>
                <w:szCs w:val="20"/>
              </w:rPr>
              <w:t>IURC</w:t>
            </w:r>
            <w:proofErr w:type="spellEnd"/>
            <w:r w:rsidRPr="00990CA1">
              <w:rPr>
                <w:rFonts w:ascii="Tahoma" w:eastAsia="Times New Roman" w:hAnsi="Tahoma" w:cs="Tahoma"/>
                <w:sz w:val="20"/>
                <w:szCs w:val="20"/>
              </w:rPr>
              <w:t xml:space="preserve">) if: (1) the public utility intends or decides to retire, sell, or transfer an electric generation facility with a capacity of at least 80 megawatts; and (2) the retirement, sale, or transfer: (A) was not set forth in; or (B) is to take place on a date earlier than the date specified in; the public utility's short term action plan in the public utility's most recently filed integrated resource plan (IRP). Provides that upon receiving such notice from a public utility, the </w:t>
            </w:r>
            <w:proofErr w:type="spellStart"/>
            <w:r w:rsidRPr="00990CA1">
              <w:rPr>
                <w:rFonts w:ascii="Tahoma" w:eastAsia="Times New Roman" w:hAnsi="Tahoma" w:cs="Tahoma"/>
                <w:sz w:val="20"/>
                <w:szCs w:val="20"/>
              </w:rPr>
              <w:t>IURC</w:t>
            </w:r>
            <w:proofErr w:type="spellEnd"/>
            <w:r w:rsidRPr="00990CA1">
              <w:rPr>
                <w:rFonts w:ascii="Tahoma" w:eastAsia="Times New Roman" w:hAnsi="Tahoma" w:cs="Tahoma"/>
                <w:sz w:val="20"/>
                <w:szCs w:val="20"/>
              </w:rPr>
              <w:t xml:space="preserve"> shall consider and may investigate the public utility's intention or decision to retire, sell, or transfer the electric generation facility. Provides that in considering the public utility's intention or decision, the commission shall examine the impact the retirement, sale, or transfer would have on the public utility's ability to meet: (1) the public utility's planning reserve margin requirements or other federal reliability requirements; and (2) the reliability adequacy metrics set forth in Indiana law. Provides that if the retirement, sale, or transfer was not set forth in, or is to take place earlier than specified in, the public utility's short term action plan in the public utility's most recently filed IRP, the </w:t>
            </w:r>
            <w:proofErr w:type="spellStart"/>
            <w:r w:rsidRPr="00990CA1">
              <w:rPr>
                <w:rFonts w:ascii="Tahoma" w:eastAsia="Times New Roman" w:hAnsi="Tahoma" w:cs="Tahoma"/>
                <w:sz w:val="20"/>
                <w:szCs w:val="20"/>
              </w:rPr>
              <w:t>IURC</w:t>
            </w:r>
            <w:proofErr w:type="spellEnd"/>
            <w:r w:rsidRPr="00990CA1">
              <w:rPr>
                <w:rFonts w:ascii="Tahoma" w:eastAsia="Times New Roman" w:hAnsi="Tahoma" w:cs="Tahoma"/>
                <w:sz w:val="20"/>
                <w:szCs w:val="20"/>
              </w:rPr>
              <w:t xml:space="preserve"> shall not permit the public utility's depreciation rates to be amended to reflect the accelerated date for the retirement, sale, or transfer of the electric generation asset unless the </w:t>
            </w:r>
            <w:proofErr w:type="spellStart"/>
            <w:r w:rsidRPr="00990CA1">
              <w:rPr>
                <w:rFonts w:ascii="Tahoma" w:eastAsia="Times New Roman" w:hAnsi="Tahoma" w:cs="Tahoma"/>
                <w:sz w:val="20"/>
                <w:szCs w:val="20"/>
              </w:rPr>
              <w:t>IURC</w:t>
            </w:r>
            <w:proofErr w:type="spellEnd"/>
            <w:r w:rsidRPr="00990CA1">
              <w:rPr>
                <w:rFonts w:ascii="Tahoma" w:eastAsia="Times New Roman" w:hAnsi="Tahoma" w:cs="Tahoma"/>
                <w:sz w:val="20"/>
                <w:szCs w:val="20"/>
              </w:rPr>
              <w:t xml:space="preserve"> finds that such an adjustment is necessary to ensure the ability of the public utility to provide reliable service to its customers, and that the unamended depreciation rates would cause an unjust and unreasonable impact on the public utility and its ratepayers. Authorizes the </w:t>
            </w:r>
            <w:proofErr w:type="spellStart"/>
            <w:r w:rsidRPr="00990CA1">
              <w:rPr>
                <w:rFonts w:ascii="Tahoma" w:eastAsia="Times New Roman" w:hAnsi="Tahoma" w:cs="Tahoma"/>
                <w:sz w:val="20"/>
                <w:szCs w:val="20"/>
              </w:rPr>
              <w:t>IURC</w:t>
            </w:r>
            <w:proofErr w:type="spellEnd"/>
            <w:r w:rsidRPr="00990CA1">
              <w:rPr>
                <w:rFonts w:ascii="Tahoma" w:eastAsia="Times New Roman" w:hAnsi="Tahoma" w:cs="Tahoma"/>
                <w:sz w:val="20"/>
                <w:szCs w:val="20"/>
              </w:rPr>
              <w:t xml:space="preserve"> to adopt a general administrative order to implement these provisions. Provides that the bill's provisions do not apply to: (1) the retirement, sale, or transfer of a public utility's electric generation facility if the retirement, sale, or transfer is necessary for the public utility to comply with a federal consent decree; or (2) an electric generation facility that generates electricity for sale exclusively to the wholesale market. Provides that the bill's provisions expire July 1, 2026.</w:t>
            </w:r>
          </w:p>
        </w:tc>
      </w:tr>
      <w:tr w:rsidR="00990CA1" w:rsidRPr="00990CA1" w14:paraId="669762B5" w14:textId="77777777" w:rsidTr="006C2CC7">
        <w:trPr>
          <w:tblCellSpacing w:w="15" w:type="dxa"/>
        </w:trPr>
        <w:tc>
          <w:tcPr>
            <w:tcW w:w="0" w:type="auto"/>
            <w:vAlign w:val="center"/>
            <w:hideMark/>
          </w:tcPr>
          <w:p w14:paraId="6673AEB9" w14:textId="77777777" w:rsidR="00990CA1" w:rsidRPr="00990CA1" w:rsidRDefault="00990CA1" w:rsidP="00990CA1">
            <w:pPr>
              <w:rPr>
                <w:rFonts w:ascii="Tahoma" w:eastAsia="Times New Roman" w:hAnsi="Tahoma" w:cs="Tahoma"/>
                <w:sz w:val="20"/>
                <w:szCs w:val="20"/>
              </w:rPr>
            </w:pPr>
            <w:r w:rsidRPr="00990CA1">
              <w:rPr>
                <w:rFonts w:ascii="Tahoma" w:eastAsia="Times New Roman" w:hAnsi="Tahoma" w:cs="Tahoma"/>
                <w:sz w:val="20"/>
                <w:szCs w:val="20"/>
              </w:rPr>
              <w:t> </w:t>
            </w:r>
          </w:p>
        </w:tc>
        <w:tc>
          <w:tcPr>
            <w:tcW w:w="1250" w:type="pct"/>
            <w:hideMark/>
          </w:tcPr>
          <w:p w14:paraId="7F02E0CB" w14:textId="77777777" w:rsidR="00990CA1" w:rsidRPr="00990CA1" w:rsidRDefault="00990CA1" w:rsidP="00990CA1">
            <w:pPr>
              <w:jc w:val="right"/>
              <w:rPr>
                <w:rFonts w:ascii="Tahoma" w:eastAsia="Times New Roman" w:hAnsi="Tahoma" w:cs="Tahoma"/>
                <w:sz w:val="18"/>
                <w:szCs w:val="18"/>
              </w:rPr>
            </w:pPr>
            <w:r w:rsidRPr="00990CA1">
              <w:rPr>
                <w:rFonts w:ascii="Tahoma" w:eastAsia="Times New Roman" w:hAnsi="Tahoma" w:cs="Tahoma"/>
                <w:b/>
                <w:bCs/>
                <w:i/>
                <w:iCs/>
                <w:sz w:val="18"/>
                <w:szCs w:val="18"/>
              </w:rPr>
              <w:t>Current Status:   </w:t>
            </w:r>
          </w:p>
        </w:tc>
        <w:tc>
          <w:tcPr>
            <w:tcW w:w="0" w:type="auto"/>
            <w:vAlign w:val="center"/>
            <w:hideMark/>
          </w:tcPr>
          <w:p w14:paraId="2C76DA09" w14:textId="77777777" w:rsidR="00990CA1" w:rsidRPr="00990CA1" w:rsidRDefault="00990CA1" w:rsidP="00990CA1">
            <w:pPr>
              <w:rPr>
                <w:rFonts w:ascii="Tahoma" w:eastAsia="Times New Roman" w:hAnsi="Tahoma" w:cs="Tahoma"/>
                <w:sz w:val="20"/>
                <w:szCs w:val="20"/>
              </w:rPr>
            </w:pPr>
            <w:r w:rsidRPr="00990CA1">
              <w:rPr>
                <w:rFonts w:ascii="Tahoma" w:eastAsia="Times New Roman" w:hAnsi="Tahoma" w:cs="Tahoma"/>
                <w:sz w:val="20"/>
                <w:szCs w:val="20"/>
              </w:rPr>
              <w:t>2/23/2023 - Committee Report amend do pass, adopted</w:t>
            </w:r>
          </w:p>
        </w:tc>
      </w:tr>
      <w:tr w:rsidR="00990CA1" w:rsidRPr="00990CA1" w14:paraId="490132C0" w14:textId="77777777" w:rsidTr="006C2CC7">
        <w:trPr>
          <w:tblCellSpacing w:w="15" w:type="dxa"/>
        </w:trPr>
        <w:tc>
          <w:tcPr>
            <w:tcW w:w="0" w:type="auto"/>
            <w:vAlign w:val="center"/>
            <w:hideMark/>
          </w:tcPr>
          <w:p w14:paraId="58B2B8FB" w14:textId="77777777" w:rsidR="00990CA1" w:rsidRPr="00990CA1" w:rsidRDefault="00990CA1" w:rsidP="00990CA1">
            <w:pPr>
              <w:rPr>
                <w:rFonts w:ascii="Tahoma" w:eastAsia="Times New Roman" w:hAnsi="Tahoma" w:cs="Tahoma"/>
                <w:sz w:val="20"/>
                <w:szCs w:val="20"/>
              </w:rPr>
            </w:pPr>
            <w:r w:rsidRPr="00990CA1">
              <w:rPr>
                <w:rFonts w:ascii="Tahoma" w:eastAsia="Times New Roman" w:hAnsi="Tahoma" w:cs="Tahoma"/>
                <w:sz w:val="20"/>
                <w:szCs w:val="20"/>
              </w:rPr>
              <w:t> </w:t>
            </w:r>
          </w:p>
        </w:tc>
        <w:tc>
          <w:tcPr>
            <w:tcW w:w="1250" w:type="pct"/>
            <w:hideMark/>
          </w:tcPr>
          <w:p w14:paraId="5B6F5F5B" w14:textId="77777777" w:rsidR="00990CA1" w:rsidRPr="00990CA1" w:rsidRDefault="00990CA1" w:rsidP="00990CA1">
            <w:pPr>
              <w:jc w:val="right"/>
              <w:rPr>
                <w:rFonts w:ascii="Tahoma" w:eastAsia="Times New Roman" w:hAnsi="Tahoma" w:cs="Tahoma"/>
                <w:sz w:val="18"/>
                <w:szCs w:val="18"/>
              </w:rPr>
            </w:pPr>
            <w:r w:rsidRPr="00990CA1">
              <w:rPr>
                <w:rFonts w:ascii="Tahoma" w:eastAsia="Times New Roman" w:hAnsi="Tahoma" w:cs="Tahoma"/>
                <w:b/>
                <w:bCs/>
                <w:i/>
                <w:iCs/>
                <w:sz w:val="18"/>
                <w:szCs w:val="18"/>
              </w:rPr>
              <w:t>Recent Status:   </w:t>
            </w:r>
          </w:p>
        </w:tc>
        <w:tc>
          <w:tcPr>
            <w:tcW w:w="0" w:type="auto"/>
            <w:vAlign w:val="center"/>
            <w:hideMark/>
          </w:tcPr>
          <w:p w14:paraId="5AAA0EA8" w14:textId="77777777" w:rsidR="00990CA1" w:rsidRPr="00990CA1" w:rsidRDefault="00990CA1" w:rsidP="00990CA1">
            <w:pPr>
              <w:rPr>
                <w:rFonts w:ascii="Tahoma" w:eastAsia="Times New Roman" w:hAnsi="Tahoma" w:cs="Tahoma"/>
                <w:sz w:val="20"/>
                <w:szCs w:val="20"/>
              </w:rPr>
            </w:pPr>
            <w:r w:rsidRPr="00990CA1">
              <w:rPr>
                <w:rFonts w:ascii="Tahoma" w:eastAsia="Times New Roman" w:hAnsi="Tahoma" w:cs="Tahoma"/>
                <w:sz w:val="20"/>
                <w:szCs w:val="20"/>
              </w:rPr>
              <w:t>2/23/2023 - Senate Committee recommends passage, as amended Yeas: 6; Nays: 2</w:t>
            </w:r>
            <w:r w:rsidRPr="00990CA1">
              <w:rPr>
                <w:rFonts w:ascii="Tahoma" w:eastAsia="Times New Roman" w:hAnsi="Tahoma" w:cs="Tahoma"/>
                <w:sz w:val="20"/>
                <w:szCs w:val="20"/>
              </w:rPr>
              <w:br/>
              <w:t>2/23/2023 - Senate Utilities, (Bill Scheduled for Hearing)</w:t>
            </w:r>
          </w:p>
        </w:tc>
      </w:tr>
      <w:tr w:rsidR="00990CA1" w:rsidRPr="00990CA1" w14:paraId="2FB04181" w14:textId="77777777" w:rsidTr="006C2CC7">
        <w:trPr>
          <w:tblCellSpacing w:w="15" w:type="dxa"/>
        </w:trPr>
        <w:tc>
          <w:tcPr>
            <w:tcW w:w="0" w:type="auto"/>
            <w:vAlign w:val="center"/>
            <w:hideMark/>
          </w:tcPr>
          <w:p w14:paraId="4E04C2EB" w14:textId="77777777" w:rsidR="00990CA1" w:rsidRPr="00990CA1" w:rsidRDefault="00990CA1" w:rsidP="00990CA1">
            <w:pPr>
              <w:rPr>
                <w:rFonts w:ascii="Tahoma" w:eastAsia="Times New Roman" w:hAnsi="Tahoma" w:cs="Tahoma"/>
                <w:sz w:val="20"/>
                <w:szCs w:val="20"/>
              </w:rPr>
            </w:pPr>
            <w:r w:rsidRPr="00990CA1">
              <w:rPr>
                <w:rFonts w:ascii="Tahoma" w:eastAsia="Times New Roman" w:hAnsi="Tahoma" w:cs="Tahoma"/>
                <w:sz w:val="20"/>
                <w:szCs w:val="20"/>
              </w:rPr>
              <w:t> </w:t>
            </w:r>
          </w:p>
        </w:tc>
        <w:tc>
          <w:tcPr>
            <w:tcW w:w="1250" w:type="pct"/>
            <w:hideMark/>
          </w:tcPr>
          <w:p w14:paraId="27B6A30A" w14:textId="77777777" w:rsidR="00990CA1" w:rsidRPr="00990CA1" w:rsidRDefault="00990CA1" w:rsidP="00990CA1">
            <w:pPr>
              <w:jc w:val="right"/>
              <w:rPr>
                <w:rFonts w:ascii="Tahoma" w:eastAsia="Times New Roman" w:hAnsi="Tahoma" w:cs="Tahoma"/>
                <w:sz w:val="18"/>
                <w:szCs w:val="18"/>
              </w:rPr>
            </w:pPr>
            <w:r w:rsidRPr="00990CA1">
              <w:rPr>
                <w:rFonts w:ascii="Tahoma" w:eastAsia="Times New Roman" w:hAnsi="Tahoma" w:cs="Tahoma"/>
                <w:b/>
                <w:bCs/>
                <w:i/>
                <w:iCs/>
                <w:sz w:val="18"/>
                <w:szCs w:val="18"/>
              </w:rPr>
              <w:t>State Bill Page:   </w:t>
            </w:r>
          </w:p>
        </w:tc>
        <w:tc>
          <w:tcPr>
            <w:tcW w:w="0" w:type="auto"/>
            <w:vAlign w:val="center"/>
            <w:hideMark/>
          </w:tcPr>
          <w:p w14:paraId="24997F2A" w14:textId="77777777" w:rsidR="00990CA1" w:rsidRPr="00990CA1" w:rsidRDefault="00990CA1" w:rsidP="00990CA1">
            <w:pPr>
              <w:rPr>
                <w:rFonts w:ascii="Tahoma" w:eastAsia="Times New Roman" w:hAnsi="Tahoma" w:cs="Tahoma"/>
                <w:sz w:val="20"/>
                <w:szCs w:val="20"/>
              </w:rPr>
            </w:pPr>
            <w:hyperlink r:id="rId17" w:tgtFrame="_blank" w:history="1">
              <w:r w:rsidRPr="00990CA1">
                <w:rPr>
                  <w:rFonts w:ascii="Tahoma" w:eastAsia="Times New Roman" w:hAnsi="Tahoma" w:cs="Tahoma"/>
                  <w:color w:val="0000FF"/>
                  <w:sz w:val="20"/>
                  <w:szCs w:val="20"/>
                  <w:u w:val="single"/>
                </w:rPr>
                <w:t>SB9</w:t>
              </w:r>
            </w:hyperlink>
          </w:p>
        </w:tc>
      </w:tr>
    </w:tbl>
    <w:p w14:paraId="7E807282" w14:textId="77777777" w:rsidR="00216AC7" w:rsidRPr="00B253EB" w:rsidRDefault="00216AC7" w:rsidP="00B253EB">
      <w:pPr>
        <w:rPr>
          <w:rFonts w:asciiTheme="minorHAnsi" w:eastAsia="Times New Roman" w:hAnsiTheme="minorHAnsi" w:cstheme="minorHAnsi"/>
          <w:sz w:val="32"/>
          <w:szCs w:val="32"/>
        </w:rPr>
      </w:pPr>
    </w:p>
    <w:sectPr w:rsidR="00216AC7" w:rsidRPr="00B253EB" w:rsidSect="00C72626">
      <w:footerReference w:type="default" r:id="rId18"/>
      <w:pgSz w:w="12240" w:h="15840" w:code="1"/>
      <w:pgMar w:top="1008" w:right="1008" w:bottom="720"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79B3E" w14:textId="77777777" w:rsidR="000863D0" w:rsidRDefault="000863D0">
      <w:r>
        <w:separator/>
      </w:r>
    </w:p>
  </w:endnote>
  <w:endnote w:type="continuationSeparator" w:id="0">
    <w:p w14:paraId="6438C9C0" w14:textId="77777777" w:rsidR="000863D0" w:rsidRDefault="000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375770"/>
      <w:docPartObj>
        <w:docPartGallery w:val="Page Numbers (Bottom of Page)"/>
        <w:docPartUnique/>
      </w:docPartObj>
    </w:sdtPr>
    <w:sdtEndPr/>
    <w:sdtContent>
      <w:p w14:paraId="230EF5D8" w14:textId="77777777" w:rsidR="00B52A24" w:rsidRDefault="00B52A2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FFA1B91" w14:textId="77777777" w:rsidR="00B52A24" w:rsidRDefault="00B5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2C232" w14:textId="77777777" w:rsidR="000863D0" w:rsidRDefault="000863D0">
      <w:r>
        <w:separator/>
      </w:r>
    </w:p>
  </w:footnote>
  <w:footnote w:type="continuationSeparator" w:id="0">
    <w:p w14:paraId="285C04F0" w14:textId="77777777" w:rsidR="000863D0" w:rsidRDefault="0008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329399"/>
    <w:docVar w:name="DocIDRemoved" w:val="True"/>
    <w:docVar w:name="ForteTempFile" w:val="C:\Users\nsturm\AppData\Local\Temp\704ad1ca-d7ac-49db-b278-884ad7b07d08.docx"/>
    <w:docVar w:name="MatterNumber" w:val="34300"/>
    <w:docVar w:name="SavedRange" w:val="0;0"/>
    <w:docVar w:name="SavedStatus" w:val="recentsave;3/20/2018 2:41:13 PM"/>
    <w:docVar w:name="zzmp10mSEGsValidated" w:val="1"/>
    <w:docVar w:name="zzmp10NoTrailerPromptID" w:val="DMS_US.136350412.10"/>
    <w:docVar w:name="zzmpCompatibilityMode" w:val="15"/>
    <w:docVar w:name="zzmpLegacyTrailerRemoved" w:val="True"/>
  </w:docVars>
  <w:rsids>
    <w:rsidRoot w:val="000236D4"/>
    <w:rsid w:val="000002EC"/>
    <w:rsid w:val="00001B05"/>
    <w:rsid w:val="00001CB0"/>
    <w:rsid w:val="0000291F"/>
    <w:rsid w:val="00006271"/>
    <w:rsid w:val="00007063"/>
    <w:rsid w:val="00015AC5"/>
    <w:rsid w:val="000207A1"/>
    <w:rsid w:val="000236D4"/>
    <w:rsid w:val="00025805"/>
    <w:rsid w:val="000262A5"/>
    <w:rsid w:val="00030549"/>
    <w:rsid w:val="00032CC0"/>
    <w:rsid w:val="00033C37"/>
    <w:rsid w:val="0003566D"/>
    <w:rsid w:val="00040CFE"/>
    <w:rsid w:val="00040FDF"/>
    <w:rsid w:val="00043EF8"/>
    <w:rsid w:val="00045DB4"/>
    <w:rsid w:val="000466B6"/>
    <w:rsid w:val="000469EF"/>
    <w:rsid w:val="00047569"/>
    <w:rsid w:val="000503A2"/>
    <w:rsid w:val="00054256"/>
    <w:rsid w:val="0005705F"/>
    <w:rsid w:val="00057490"/>
    <w:rsid w:val="00062B5E"/>
    <w:rsid w:val="00067C40"/>
    <w:rsid w:val="00072890"/>
    <w:rsid w:val="00073148"/>
    <w:rsid w:val="00073446"/>
    <w:rsid w:val="00073B1F"/>
    <w:rsid w:val="00075771"/>
    <w:rsid w:val="000759B7"/>
    <w:rsid w:val="00085362"/>
    <w:rsid w:val="000863D0"/>
    <w:rsid w:val="0008662A"/>
    <w:rsid w:val="00087024"/>
    <w:rsid w:val="00087F63"/>
    <w:rsid w:val="00092F05"/>
    <w:rsid w:val="000A34E1"/>
    <w:rsid w:val="000A4CC2"/>
    <w:rsid w:val="000A4CEA"/>
    <w:rsid w:val="000A4F99"/>
    <w:rsid w:val="000B6BF6"/>
    <w:rsid w:val="000B7038"/>
    <w:rsid w:val="000B7646"/>
    <w:rsid w:val="000C0A6C"/>
    <w:rsid w:val="000D033F"/>
    <w:rsid w:val="000D19C6"/>
    <w:rsid w:val="000E11DD"/>
    <w:rsid w:val="000E133D"/>
    <w:rsid w:val="000E3877"/>
    <w:rsid w:val="000F07C8"/>
    <w:rsid w:val="000F0AD0"/>
    <w:rsid w:val="0010039B"/>
    <w:rsid w:val="00101127"/>
    <w:rsid w:val="00106207"/>
    <w:rsid w:val="00112FF0"/>
    <w:rsid w:val="00113B03"/>
    <w:rsid w:val="00113F49"/>
    <w:rsid w:val="001174FD"/>
    <w:rsid w:val="0012278C"/>
    <w:rsid w:val="00124CAA"/>
    <w:rsid w:val="00127B65"/>
    <w:rsid w:val="00134F61"/>
    <w:rsid w:val="001417B4"/>
    <w:rsid w:val="001448EE"/>
    <w:rsid w:val="001466D7"/>
    <w:rsid w:val="001574D3"/>
    <w:rsid w:val="001600BE"/>
    <w:rsid w:val="00161002"/>
    <w:rsid w:val="001614D1"/>
    <w:rsid w:val="00164E9E"/>
    <w:rsid w:val="00165037"/>
    <w:rsid w:val="0016768A"/>
    <w:rsid w:val="001724F3"/>
    <w:rsid w:val="0017415C"/>
    <w:rsid w:val="00174A45"/>
    <w:rsid w:val="00175AE6"/>
    <w:rsid w:val="00175C5E"/>
    <w:rsid w:val="0018050E"/>
    <w:rsid w:val="001810D3"/>
    <w:rsid w:val="00183C50"/>
    <w:rsid w:val="001850B3"/>
    <w:rsid w:val="00191B46"/>
    <w:rsid w:val="00193CE4"/>
    <w:rsid w:val="001A239E"/>
    <w:rsid w:val="001A2E97"/>
    <w:rsid w:val="001A3E41"/>
    <w:rsid w:val="001A6C39"/>
    <w:rsid w:val="001B02AC"/>
    <w:rsid w:val="001C1F68"/>
    <w:rsid w:val="001C7563"/>
    <w:rsid w:val="001D444A"/>
    <w:rsid w:val="001D6000"/>
    <w:rsid w:val="001E17B7"/>
    <w:rsid w:val="001E4244"/>
    <w:rsid w:val="001E4E14"/>
    <w:rsid w:val="001E6306"/>
    <w:rsid w:val="001E6E0A"/>
    <w:rsid w:val="001F1085"/>
    <w:rsid w:val="001F5E2C"/>
    <w:rsid w:val="001F600A"/>
    <w:rsid w:val="00201E15"/>
    <w:rsid w:val="00205544"/>
    <w:rsid w:val="0020609D"/>
    <w:rsid w:val="00211C1E"/>
    <w:rsid w:val="00211C76"/>
    <w:rsid w:val="00211C9D"/>
    <w:rsid w:val="002167A8"/>
    <w:rsid w:val="00216AC7"/>
    <w:rsid w:val="002201FE"/>
    <w:rsid w:val="00221779"/>
    <w:rsid w:val="002221D6"/>
    <w:rsid w:val="0022265F"/>
    <w:rsid w:val="00226009"/>
    <w:rsid w:val="00226960"/>
    <w:rsid w:val="00234884"/>
    <w:rsid w:val="0024315A"/>
    <w:rsid w:val="00244099"/>
    <w:rsid w:val="00245822"/>
    <w:rsid w:val="0025106E"/>
    <w:rsid w:val="00251252"/>
    <w:rsid w:val="002546AB"/>
    <w:rsid w:val="00257253"/>
    <w:rsid w:val="00266860"/>
    <w:rsid w:val="002700EC"/>
    <w:rsid w:val="0027015C"/>
    <w:rsid w:val="00270B3F"/>
    <w:rsid w:val="0027195E"/>
    <w:rsid w:val="00273F76"/>
    <w:rsid w:val="00275D8D"/>
    <w:rsid w:val="0027667C"/>
    <w:rsid w:val="00280A05"/>
    <w:rsid w:val="002824D0"/>
    <w:rsid w:val="0028413C"/>
    <w:rsid w:val="00284EA5"/>
    <w:rsid w:val="00287F18"/>
    <w:rsid w:val="00292621"/>
    <w:rsid w:val="002A4456"/>
    <w:rsid w:val="002A6720"/>
    <w:rsid w:val="002B2528"/>
    <w:rsid w:val="002B54AF"/>
    <w:rsid w:val="002C19FB"/>
    <w:rsid w:val="002C444D"/>
    <w:rsid w:val="002C4DFC"/>
    <w:rsid w:val="002C7751"/>
    <w:rsid w:val="002D1FB2"/>
    <w:rsid w:val="002D223D"/>
    <w:rsid w:val="002D3780"/>
    <w:rsid w:val="002D6AF1"/>
    <w:rsid w:val="002D75A3"/>
    <w:rsid w:val="002D7C58"/>
    <w:rsid w:val="002E174A"/>
    <w:rsid w:val="002E24F6"/>
    <w:rsid w:val="002E4A56"/>
    <w:rsid w:val="002E4F64"/>
    <w:rsid w:val="002E5722"/>
    <w:rsid w:val="002F029E"/>
    <w:rsid w:val="002F0692"/>
    <w:rsid w:val="002F1E7F"/>
    <w:rsid w:val="002F5407"/>
    <w:rsid w:val="00300006"/>
    <w:rsid w:val="003015A7"/>
    <w:rsid w:val="00302691"/>
    <w:rsid w:val="0030312B"/>
    <w:rsid w:val="003045C6"/>
    <w:rsid w:val="00307AA3"/>
    <w:rsid w:val="00307F86"/>
    <w:rsid w:val="0031313F"/>
    <w:rsid w:val="003152F2"/>
    <w:rsid w:val="00315876"/>
    <w:rsid w:val="00316259"/>
    <w:rsid w:val="00316748"/>
    <w:rsid w:val="003172FC"/>
    <w:rsid w:val="003231A4"/>
    <w:rsid w:val="003238E6"/>
    <w:rsid w:val="00323CB8"/>
    <w:rsid w:val="0032450B"/>
    <w:rsid w:val="00327972"/>
    <w:rsid w:val="003303B4"/>
    <w:rsid w:val="0033587D"/>
    <w:rsid w:val="0033670C"/>
    <w:rsid w:val="00343CBC"/>
    <w:rsid w:val="00344731"/>
    <w:rsid w:val="003553EC"/>
    <w:rsid w:val="00357E3F"/>
    <w:rsid w:val="00357F11"/>
    <w:rsid w:val="00360AC6"/>
    <w:rsid w:val="00362364"/>
    <w:rsid w:val="0037056B"/>
    <w:rsid w:val="00370B17"/>
    <w:rsid w:val="0037334D"/>
    <w:rsid w:val="003738B2"/>
    <w:rsid w:val="00373F62"/>
    <w:rsid w:val="003746FD"/>
    <w:rsid w:val="003747AB"/>
    <w:rsid w:val="00382556"/>
    <w:rsid w:val="00384E0C"/>
    <w:rsid w:val="00392243"/>
    <w:rsid w:val="00392715"/>
    <w:rsid w:val="00393B62"/>
    <w:rsid w:val="00393CCF"/>
    <w:rsid w:val="003A0BFE"/>
    <w:rsid w:val="003A2CA4"/>
    <w:rsid w:val="003A42EB"/>
    <w:rsid w:val="003B0FDD"/>
    <w:rsid w:val="003B393C"/>
    <w:rsid w:val="003C082F"/>
    <w:rsid w:val="003C1FB9"/>
    <w:rsid w:val="003C3503"/>
    <w:rsid w:val="003C4A18"/>
    <w:rsid w:val="003C5CDD"/>
    <w:rsid w:val="003C62B3"/>
    <w:rsid w:val="003D0EC0"/>
    <w:rsid w:val="003D58C0"/>
    <w:rsid w:val="003D6F7E"/>
    <w:rsid w:val="003D7B05"/>
    <w:rsid w:val="003E0590"/>
    <w:rsid w:val="003E21D5"/>
    <w:rsid w:val="003E3C2B"/>
    <w:rsid w:val="003E6FD6"/>
    <w:rsid w:val="003F08D8"/>
    <w:rsid w:val="003F08E6"/>
    <w:rsid w:val="003F4E48"/>
    <w:rsid w:val="00401B1A"/>
    <w:rsid w:val="004022B2"/>
    <w:rsid w:val="00402D37"/>
    <w:rsid w:val="00405838"/>
    <w:rsid w:val="00410A86"/>
    <w:rsid w:val="00412C61"/>
    <w:rsid w:val="0042025B"/>
    <w:rsid w:val="00424CCB"/>
    <w:rsid w:val="00426CAA"/>
    <w:rsid w:val="00432DFD"/>
    <w:rsid w:val="0043457C"/>
    <w:rsid w:val="00436568"/>
    <w:rsid w:val="00441909"/>
    <w:rsid w:val="00443714"/>
    <w:rsid w:val="004444B4"/>
    <w:rsid w:val="00451B43"/>
    <w:rsid w:val="004607B7"/>
    <w:rsid w:val="0046332A"/>
    <w:rsid w:val="004644E9"/>
    <w:rsid w:val="004656D7"/>
    <w:rsid w:val="00474E41"/>
    <w:rsid w:val="004750E2"/>
    <w:rsid w:val="0047702C"/>
    <w:rsid w:val="00477228"/>
    <w:rsid w:val="004815F9"/>
    <w:rsid w:val="004853C3"/>
    <w:rsid w:val="004925B4"/>
    <w:rsid w:val="004955B6"/>
    <w:rsid w:val="004A1515"/>
    <w:rsid w:val="004A7EBC"/>
    <w:rsid w:val="004B7FDA"/>
    <w:rsid w:val="004C0CC3"/>
    <w:rsid w:val="004C1504"/>
    <w:rsid w:val="004C17DF"/>
    <w:rsid w:val="004C5EDC"/>
    <w:rsid w:val="004E0C49"/>
    <w:rsid w:val="004E6115"/>
    <w:rsid w:val="004E6275"/>
    <w:rsid w:val="004E6307"/>
    <w:rsid w:val="004F5237"/>
    <w:rsid w:val="004F7453"/>
    <w:rsid w:val="0050137E"/>
    <w:rsid w:val="0050150B"/>
    <w:rsid w:val="0050153C"/>
    <w:rsid w:val="00504DE4"/>
    <w:rsid w:val="00511778"/>
    <w:rsid w:val="00514A82"/>
    <w:rsid w:val="00522F4F"/>
    <w:rsid w:val="00524EA8"/>
    <w:rsid w:val="0052616D"/>
    <w:rsid w:val="00531408"/>
    <w:rsid w:val="005332FC"/>
    <w:rsid w:val="005376E7"/>
    <w:rsid w:val="00543BA2"/>
    <w:rsid w:val="0054500E"/>
    <w:rsid w:val="0054673E"/>
    <w:rsid w:val="00547606"/>
    <w:rsid w:val="005515D4"/>
    <w:rsid w:val="00557D4D"/>
    <w:rsid w:val="00561748"/>
    <w:rsid w:val="00561D5A"/>
    <w:rsid w:val="00562121"/>
    <w:rsid w:val="00562D90"/>
    <w:rsid w:val="00563558"/>
    <w:rsid w:val="00563789"/>
    <w:rsid w:val="00567781"/>
    <w:rsid w:val="00567AA7"/>
    <w:rsid w:val="0057562B"/>
    <w:rsid w:val="005763CC"/>
    <w:rsid w:val="00581CFF"/>
    <w:rsid w:val="005821CD"/>
    <w:rsid w:val="00584E3B"/>
    <w:rsid w:val="005870DC"/>
    <w:rsid w:val="00587F85"/>
    <w:rsid w:val="0059072C"/>
    <w:rsid w:val="00592930"/>
    <w:rsid w:val="00593157"/>
    <w:rsid w:val="005A2470"/>
    <w:rsid w:val="005A4E7C"/>
    <w:rsid w:val="005A5ABB"/>
    <w:rsid w:val="005A7A1A"/>
    <w:rsid w:val="005B3D0D"/>
    <w:rsid w:val="005B75D3"/>
    <w:rsid w:val="005B762D"/>
    <w:rsid w:val="005C2ED5"/>
    <w:rsid w:val="005C6756"/>
    <w:rsid w:val="005C7EC5"/>
    <w:rsid w:val="005E03F7"/>
    <w:rsid w:val="005E1899"/>
    <w:rsid w:val="005E60A9"/>
    <w:rsid w:val="005E6882"/>
    <w:rsid w:val="005E7C5C"/>
    <w:rsid w:val="005E7EDE"/>
    <w:rsid w:val="005F16BC"/>
    <w:rsid w:val="005F1AC7"/>
    <w:rsid w:val="005F3852"/>
    <w:rsid w:val="005F52E0"/>
    <w:rsid w:val="005F5BE2"/>
    <w:rsid w:val="005F6B35"/>
    <w:rsid w:val="005F7711"/>
    <w:rsid w:val="00600611"/>
    <w:rsid w:val="0060215B"/>
    <w:rsid w:val="00607455"/>
    <w:rsid w:val="00612906"/>
    <w:rsid w:val="006146F2"/>
    <w:rsid w:val="00615A09"/>
    <w:rsid w:val="00616059"/>
    <w:rsid w:val="00626A03"/>
    <w:rsid w:val="00627532"/>
    <w:rsid w:val="00630F3A"/>
    <w:rsid w:val="0064039D"/>
    <w:rsid w:val="00641063"/>
    <w:rsid w:val="0064241C"/>
    <w:rsid w:val="00642747"/>
    <w:rsid w:val="00644BB6"/>
    <w:rsid w:val="00644C8D"/>
    <w:rsid w:val="006454D3"/>
    <w:rsid w:val="00645EAB"/>
    <w:rsid w:val="00646AD7"/>
    <w:rsid w:val="00653226"/>
    <w:rsid w:val="006573CC"/>
    <w:rsid w:val="00657495"/>
    <w:rsid w:val="006615DB"/>
    <w:rsid w:val="006615E6"/>
    <w:rsid w:val="00662383"/>
    <w:rsid w:val="00663FC6"/>
    <w:rsid w:val="006641DE"/>
    <w:rsid w:val="006641FD"/>
    <w:rsid w:val="00667980"/>
    <w:rsid w:val="00670279"/>
    <w:rsid w:val="00671DE9"/>
    <w:rsid w:val="0067446C"/>
    <w:rsid w:val="0068041F"/>
    <w:rsid w:val="0068208D"/>
    <w:rsid w:val="006825C7"/>
    <w:rsid w:val="00684A19"/>
    <w:rsid w:val="00686B5C"/>
    <w:rsid w:val="00695DFC"/>
    <w:rsid w:val="0069685D"/>
    <w:rsid w:val="006A1090"/>
    <w:rsid w:val="006A10F7"/>
    <w:rsid w:val="006A2A58"/>
    <w:rsid w:val="006A4734"/>
    <w:rsid w:val="006A489D"/>
    <w:rsid w:val="006B022E"/>
    <w:rsid w:val="006B0C8F"/>
    <w:rsid w:val="006B1162"/>
    <w:rsid w:val="006B5A43"/>
    <w:rsid w:val="006C18D0"/>
    <w:rsid w:val="006C5B86"/>
    <w:rsid w:val="006C7067"/>
    <w:rsid w:val="006C7341"/>
    <w:rsid w:val="006C7D04"/>
    <w:rsid w:val="006D0EAC"/>
    <w:rsid w:val="006D3B3F"/>
    <w:rsid w:val="006E2B61"/>
    <w:rsid w:val="006E40A2"/>
    <w:rsid w:val="006E5931"/>
    <w:rsid w:val="006F436B"/>
    <w:rsid w:val="00700E0B"/>
    <w:rsid w:val="00703F04"/>
    <w:rsid w:val="00706FE9"/>
    <w:rsid w:val="00711176"/>
    <w:rsid w:val="00714CBD"/>
    <w:rsid w:val="007155B3"/>
    <w:rsid w:val="00720D96"/>
    <w:rsid w:val="0072529A"/>
    <w:rsid w:val="007340C2"/>
    <w:rsid w:val="0074220E"/>
    <w:rsid w:val="00742779"/>
    <w:rsid w:val="00744E61"/>
    <w:rsid w:val="00747242"/>
    <w:rsid w:val="007501D1"/>
    <w:rsid w:val="007559F7"/>
    <w:rsid w:val="0076144F"/>
    <w:rsid w:val="007665F5"/>
    <w:rsid w:val="00774840"/>
    <w:rsid w:val="007806B7"/>
    <w:rsid w:val="00780E63"/>
    <w:rsid w:val="00782501"/>
    <w:rsid w:val="007825FD"/>
    <w:rsid w:val="00784D27"/>
    <w:rsid w:val="0079297C"/>
    <w:rsid w:val="00792D85"/>
    <w:rsid w:val="007A196A"/>
    <w:rsid w:val="007A427D"/>
    <w:rsid w:val="007A476E"/>
    <w:rsid w:val="007A6A0F"/>
    <w:rsid w:val="007B18A4"/>
    <w:rsid w:val="007B1A60"/>
    <w:rsid w:val="007B4AD3"/>
    <w:rsid w:val="007B6708"/>
    <w:rsid w:val="007B7C2F"/>
    <w:rsid w:val="007C0FAF"/>
    <w:rsid w:val="007C553E"/>
    <w:rsid w:val="007C70FF"/>
    <w:rsid w:val="007C7CBD"/>
    <w:rsid w:val="007D4CB0"/>
    <w:rsid w:val="007D61CF"/>
    <w:rsid w:val="007D705B"/>
    <w:rsid w:val="007E4C76"/>
    <w:rsid w:val="007E5EA6"/>
    <w:rsid w:val="007E6D09"/>
    <w:rsid w:val="007F6135"/>
    <w:rsid w:val="008015C7"/>
    <w:rsid w:val="00802B98"/>
    <w:rsid w:val="008063BB"/>
    <w:rsid w:val="00806A7C"/>
    <w:rsid w:val="00807402"/>
    <w:rsid w:val="00807E8D"/>
    <w:rsid w:val="00812B1F"/>
    <w:rsid w:val="008164B6"/>
    <w:rsid w:val="00816C36"/>
    <w:rsid w:val="0082285C"/>
    <w:rsid w:val="00827011"/>
    <w:rsid w:val="008271D0"/>
    <w:rsid w:val="00827422"/>
    <w:rsid w:val="008274B6"/>
    <w:rsid w:val="00830C63"/>
    <w:rsid w:val="00831D3C"/>
    <w:rsid w:val="0083721F"/>
    <w:rsid w:val="008439A9"/>
    <w:rsid w:val="008505F2"/>
    <w:rsid w:val="00854698"/>
    <w:rsid w:val="00855260"/>
    <w:rsid w:val="00857063"/>
    <w:rsid w:val="008603EE"/>
    <w:rsid w:val="0086609B"/>
    <w:rsid w:val="00866C07"/>
    <w:rsid w:val="00866DC6"/>
    <w:rsid w:val="0087121E"/>
    <w:rsid w:val="00880D08"/>
    <w:rsid w:val="00881353"/>
    <w:rsid w:val="008824AB"/>
    <w:rsid w:val="008923E6"/>
    <w:rsid w:val="00893854"/>
    <w:rsid w:val="00896CC9"/>
    <w:rsid w:val="008A08FA"/>
    <w:rsid w:val="008A21A9"/>
    <w:rsid w:val="008A323A"/>
    <w:rsid w:val="008A525F"/>
    <w:rsid w:val="008B1045"/>
    <w:rsid w:val="008B6863"/>
    <w:rsid w:val="008B7C90"/>
    <w:rsid w:val="008C0E58"/>
    <w:rsid w:val="008C224B"/>
    <w:rsid w:val="008C65E8"/>
    <w:rsid w:val="008C71DB"/>
    <w:rsid w:val="008D0A37"/>
    <w:rsid w:val="008D16D3"/>
    <w:rsid w:val="008D2DF1"/>
    <w:rsid w:val="008D6952"/>
    <w:rsid w:val="008D7755"/>
    <w:rsid w:val="008E23FC"/>
    <w:rsid w:val="008E4E11"/>
    <w:rsid w:val="008F67F0"/>
    <w:rsid w:val="008F72E7"/>
    <w:rsid w:val="008F78FE"/>
    <w:rsid w:val="008F7D31"/>
    <w:rsid w:val="00905B5E"/>
    <w:rsid w:val="00906DBB"/>
    <w:rsid w:val="00906EB8"/>
    <w:rsid w:val="00912B52"/>
    <w:rsid w:val="00912D83"/>
    <w:rsid w:val="00912E91"/>
    <w:rsid w:val="00917674"/>
    <w:rsid w:val="00920A05"/>
    <w:rsid w:val="009302E7"/>
    <w:rsid w:val="009343A0"/>
    <w:rsid w:val="00937323"/>
    <w:rsid w:val="00943182"/>
    <w:rsid w:val="00944969"/>
    <w:rsid w:val="00944FF6"/>
    <w:rsid w:val="00947E67"/>
    <w:rsid w:val="00950664"/>
    <w:rsid w:val="00951001"/>
    <w:rsid w:val="00952303"/>
    <w:rsid w:val="009560F9"/>
    <w:rsid w:val="0095735B"/>
    <w:rsid w:val="00961C6A"/>
    <w:rsid w:val="009671A9"/>
    <w:rsid w:val="0096784E"/>
    <w:rsid w:val="009704EF"/>
    <w:rsid w:val="00972F35"/>
    <w:rsid w:val="0097386C"/>
    <w:rsid w:val="00973DA0"/>
    <w:rsid w:val="009856A6"/>
    <w:rsid w:val="00985CAD"/>
    <w:rsid w:val="00990CA1"/>
    <w:rsid w:val="00991CC1"/>
    <w:rsid w:val="009922BC"/>
    <w:rsid w:val="00993E31"/>
    <w:rsid w:val="00994860"/>
    <w:rsid w:val="00996D1C"/>
    <w:rsid w:val="009A1300"/>
    <w:rsid w:val="009A74E1"/>
    <w:rsid w:val="009B1F90"/>
    <w:rsid w:val="009C0BFE"/>
    <w:rsid w:val="009C3CCC"/>
    <w:rsid w:val="009D1DB5"/>
    <w:rsid w:val="009D4539"/>
    <w:rsid w:val="009D53C0"/>
    <w:rsid w:val="009D6121"/>
    <w:rsid w:val="009E1D22"/>
    <w:rsid w:val="009F1214"/>
    <w:rsid w:val="009F2C28"/>
    <w:rsid w:val="009F3BDA"/>
    <w:rsid w:val="009F4176"/>
    <w:rsid w:val="009F7860"/>
    <w:rsid w:val="00A00D74"/>
    <w:rsid w:val="00A0324C"/>
    <w:rsid w:val="00A070F5"/>
    <w:rsid w:val="00A10144"/>
    <w:rsid w:val="00A1171E"/>
    <w:rsid w:val="00A131FC"/>
    <w:rsid w:val="00A16A11"/>
    <w:rsid w:val="00A17DE1"/>
    <w:rsid w:val="00A221A6"/>
    <w:rsid w:val="00A256F3"/>
    <w:rsid w:val="00A26476"/>
    <w:rsid w:val="00A33798"/>
    <w:rsid w:val="00A33D0A"/>
    <w:rsid w:val="00A3538B"/>
    <w:rsid w:val="00A364B8"/>
    <w:rsid w:val="00A424B1"/>
    <w:rsid w:val="00A42B67"/>
    <w:rsid w:val="00A43A70"/>
    <w:rsid w:val="00A4440C"/>
    <w:rsid w:val="00A44720"/>
    <w:rsid w:val="00A46CA8"/>
    <w:rsid w:val="00A51492"/>
    <w:rsid w:val="00A53996"/>
    <w:rsid w:val="00A56B94"/>
    <w:rsid w:val="00A604D1"/>
    <w:rsid w:val="00A644CF"/>
    <w:rsid w:val="00A64705"/>
    <w:rsid w:val="00A77956"/>
    <w:rsid w:val="00A805F8"/>
    <w:rsid w:val="00A809CA"/>
    <w:rsid w:val="00A85862"/>
    <w:rsid w:val="00A87985"/>
    <w:rsid w:val="00A87E8D"/>
    <w:rsid w:val="00A940BB"/>
    <w:rsid w:val="00A95B33"/>
    <w:rsid w:val="00A9621A"/>
    <w:rsid w:val="00AA08F1"/>
    <w:rsid w:val="00AA51E6"/>
    <w:rsid w:val="00AA6E8B"/>
    <w:rsid w:val="00AB18B0"/>
    <w:rsid w:val="00AB74E4"/>
    <w:rsid w:val="00AC03D1"/>
    <w:rsid w:val="00AC0B4E"/>
    <w:rsid w:val="00AC2968"/>
    <w:rsid w:val="00AC2EC6"/>
    <w:rsid w:val="00AC4741"/>
    <w:rsid w:val="00AC6025"/>
    <w:rsid w:val="00AD0DBA"/>
    <w:rsid w:val="00AD6FAA"/>
    <w:rsid w:val="00AE2653"/>
    <w:rsid w:val="00AE75B8"/>
    <w:rsid w:val="00AF4813"/>
    <w:rsid w:val="00B0224F"/>
    <w:rsid w:val="00B11BC6"/>
    <w:rsid w:val="00B1548D"/>
    <w:rsid w:val="00B22ED1"/>
    <w:rsid w:val="00B253EB"/>
    <w:rsid w:val="00B265A9"/>
    <w:rsid w:val="00B3492F"/>
    <w:rsid w:val="00B367B7"/>
    <w:rsid w:val="00B45502"/>
    <w:rsid w:val="00B46EB0"/>
    <w:rsid w:val="00B50AFD"/>
    <w:rsid w:val="00B50D1C"/>
    <w:rsid w:val="00B52A24"/>
    <w:rsid w:val="00B53308"/>
    <w:rsid w:val="00B5430A"/>
    <w:rsid w:val="00B5510C"/>
    <w:rsid w:val="00B56CA6"/>
    <w:rsid w:val="00B57053"/>
    <w:rsid w:val="00B61061"/>
    <w:rsid w:val="00B63038"/>
    <w:rsid w:val="00B6352A"/>
    <w:rsid w:val="00B6517B"/>
    <w:rsid w:val="00B76D0D"/>
    <w:rsid w:val="00B869AD"/>
    <w:rsid w:val="00B869BB"/>
    <w:rsid w:val="00B9059C"/>
    <w:rsid w:val="00B92567"/>
    <w:rsid w:val="00B92693"/>
    <w:rsid w:val="00B92BCB"/>
    <w:rsid w:val="00B92D94"/>
    <w:rsid w:val="00B952E8"/>
    <w:rsid w:val="00B95622"/>
    <w:rsid w:val="00B97EE9"/>
    <w:rsid w:val="00BA39B2"/>
    <w:rsid w:val="00BB6FE6"/>
    <w:rsid w:val="00BB758D"/>
    <w:rsid w:val="00BC3331"/>
    <w:rsid w:val="00BC3842"/>
    <w:rsid w:val="00BC44C2"/>
    <w:rsid w:val="00BC56E4"/>
    <w:rsid w:val="00BD4D63"/>
    <w:rsid w:val="00BE03D1"/>
    <w:rsid w:val="00BE08B7"/>
    <w:rsid w:val="00BE0F62"/>
    <w:rsid w:val="00BE3E6B"/>
    <w:rsid w:val="00BE4E2A"/>
    <w:rsid w:val="00BF160C"/>
    <w:rsid w:val="00BF24B8"/>
    <w:rsid w:val="00BF3114"/>
    <w:rsid w:val="00BF7051"/>
    <w:rsid w:val="00C008A9"/>
    <w:rsid w:val="00C0253B"/>
    <w:rsid w:val="00C02B01"/>
    <w:rsid w:val="00C03C73"/>
    <w:rsid w:val="00C11263"/>
    <w:rsid w:val="00C12464"/>
    <w:rsid w:val="00C1486D"/>
    <w:rsid w:val="00C1641F"/>
    <w:rsid w:val="00C1664E"/>
    <w:rsid w:val="00C20DDC"/>
    <w:rsid w:val="00C2122B"/>
    <w:rsid w:val="00C218CF"/>
    <w:rsid w:val="00C229BD"/>
    <w:rsid w:val="00C248BE"/>
    <w:rsid w:val="00C25977"/>
    <w:rsid w:val="00C315A4"/>
    <w:rsid w:val="00C33938"/>
    <w:rsid w:val="00C42931"/>
    <w:rsid w:val="00C4652A"/>
    <w:rsid w:val="00C47D69"/>
    <w:rsid w:val="00C52CC9"/>
    <w:rsid w:val="00C53F66"/>
    <w:rsid w:val="00C61085"/>
    <w:rsid w:val="00C65A95"/>
    <w:rsid w:val="00C66738"/>
    <w:rsid w:val="00C67606"/>
    <w:rsid w:val="00C67B0A"/>
    <w:rsid w:val="00C72626"/>
    <w:rsid w:val="00C72B60"/>
    <w:rsid w:val="00C74FDD"/>
    <w:rsid w:val="00C762F8"/>
    <w:rsid w:val="00C8077A"/>
    <w:rsid w:val="00C81C18"/>
    <w:rsid w:val="00C85B04"/>
    <w:rsid w:val="00C872A4"/>
    <w:rsid w:val="00C919DE"/>
    <w:rsid w:val="00C923A6"/>
    <w:rsid w:val="00C94B2E"/>
    <w:rsid w:val="00CA1E0D"/>
    <w:rsid w:val="00CA4D67"/>
    <w:rsid w:val="00CA501E"/>
    <w:rsid w:val="00CA7091"/>
    <w:rsid w:val="00CB24AA"/>
    <w:rsid w:val="00CB3879"/>
    <w:rsid w:val="00CB468F"/>
    <w:rsid w:val="00CB7B01"/>
    <w:rsid w:val="00CC07C5"/>
    <w:rsid w:val="00CC305E"/>
    <w:rsid w:val="00CC6124"/>
    <w:rsid w:val="00CC71EB"/>
    <w:rsid w:val="00CD01B6"/>
    <w:rsid w:val="00CD2365"/>
    <w:rsid w:val="00CD4AD4"/>
    <w:rsid w:val="00CE3F8F"/>
    <w:rsid w:val="00CE483A"/>
    <w:rsid w:val="00CE657A"/>
    <w:rsid w:val="00CE65C7"/>
    <w:rsid w:val="00CE782C"/>
    <w:rsid w:val="00CF0A94"/>
    <w:rsid w:val="00CF13FD"/>
    <w:rsid w:val="00CF18C0"/>
    <w:rsid w:val="00CF3521"/>
    <w:rsid w:val="00CF5085"/>
    <w:rsid w:val="00CF5B3B"/>
    <w:rsid w:val="00CF70CD"/>
    <w:rsid w:val="00CF7194"/>
    <w:rsid w:val="00D02C3A"/>
    <w:rsid w:val="00D0711A"/>
    <w:rsid w:val="00D076FB"/>
    <w:rsid w:val="00D07E57"/>
    <w:rsid w:val="00D10AA1"/>
    <w:rsid w:val="00D14E23"/>
    <w:rsid w:val="00D1550C"/>
    <w:rsid w:val="00D15ADA"/>
    <w:rsid w:val="00D16D70"/>
    <w:rsid w:val="00D25D5A"/>
    <w:rsid w:val="00D30FC2"/>
    <w:rsid w:val="00D328F7"/>
    <w:rsid w:val="00D37D61"/>
    <w:rsid w:val="00D37E46"/>
    <w:rsid w:val="00D41114"/>
    <w:rsid w:val="00D415CC"/>
    <w:rsid w:val="00D467F3"/>
    <w:rsid w:val="00D5061D"/>
    <w:rsid w:val="00D526B3"/>
    <w:rsid w:val="00D55020"/>
    <w:rsid w:val="00D554C9"/>
    <w:rsid w:val="00D56373"/>
    <w:rsid w:val="00D56B0D"/>
    <w:rsid w:val="00D571E4"/>
    <w:rsid w:val="00D57455"/>
    <w:rsid w:val="00D57A3A"/>
    <w:rsid w:val="00D6070D"/>
    <w:rsid w:val="00D64E0D"/>
    <w:rsid w:val="00D7168E"/>
    <w:rsid w:val="00D74A08"/>
    <w:rsid w:val="00D75EA0"/>
    <w:rsid w:val="00D80DE2"/>
    <w:rsid w:val="00D8158C"/>
    <w:rsid w:val="00D81A48"/>
    <w:rsid w:val="00D84FF5"/>
    <w:rsid w:val="00D8700F"/>
    <w:rsid w:val="00D90E4F"/>
    <w:rsid w:val="00D93473"/>
    <w:rsid w:val="00D93911"/>
    <w:rsid w:val="00D94130"/>
    <w:rsid w:val="00D94B29"/>
    <w:rsid w:val="00D9507C"/>
    <w:rsid w:val="00D97D10"/>
    <w:rsid w:val="00DA7A15"/>
    <w:rsid w:val="00DB0785"/>
    <w:rsid w:val="00DB110C"/>
    <w:rsid w:val="00DB409D"/>
    <w:rsid w:val="00DB51B5"/>
    <w:rsid w:val="00DB5369"/>
    <w:rsid w:val="00DB5557"/>
    <w:rsid w:val="00DB7E3C"/>
    <w:rsid w:val="00DD0E7E"/>
    <w:rsid w:val="00DD3604"/>
    <w:rsid w:val="00DD3A73"/>
    <w:rsid w:val="00DD3DCD"/>
    <w:rsid w:val="00DD6B5F"/>
    <w:rsid w:val="00DD70D4"/>
    <w:rsid w:val="00DD76F0"/>
    <w:rsid w:val="00DE002B"/>
    <w:rsid w:val="00DE4B0B"/>
    <w:rsid w:val="00DE51A9"/>
    <w:rsid w:val="00DE6AF6"/>
    <w:rsid w:val="00DF14B6"/>
    <w:rsid w:val="00DF67D3"/>
    <w:rsid w:val="00E01EC1"/>
    <w:rsid w:val="00E0211C"/>
    <w:rsid w:val="00E0387E"/>
    <w:rsid w:val="00E06155"/>
    <w:rsid w:val="00E071A8"/>
    <w:rsid w:val="00E07E53"/>
    <w:rsid w:val="00E07E68"/>
    <w:rsid w:val="00E10618"/>
    <w:rsid w:val="00E14705"/>
    <w:rsid w:val="00E158D3"/>
    <w:rsid w:val="00E16E85"/>
    <w:rsid w:val="00E217FF"/>
    <w:rsid w:val="00E22C20"/>
    <w:rsid w:val="00E252F7"/>
    <w:rsid w:val="00E25D81"/>
    <w:rsid w:val="00E30F19"/>
    <w:rsid w:val="00E335AA"/>
    <w:rsid w:val="00E34279"/>
    <w:rsid w:val="00E34D50"/>
    <w:rsid w:val="00E3544C"/>
    <w:rsid w:val="00E35A46"/>
    <w:rsid w:val="00E4111C"/>
    <w:rsid w:val="00E42B3C"/>
    <w:rsid w:val="00E440AB"/>
    <w:rsid w:val="00E4421F"/>
    <w:rsid w:val="00E53A6A"/>
    <w:rsid w:val="00E53E44"/>
    <w:rsid w:val="00E61134"/>
    <w:rsid w:val="00E718A7"/>
    <w:rsid w:val="00E75188"/>
    <w:rsid w:val="00E769A4"/>
    <w:rsid w:val="00E856F3"/>
    <w:rsid w:val="00E86641"/>
    <w:rsid w:val="00E90133"/>
    <w:rsid w:val="00E90B06"/>
    <w:rsid w:val="00E9363F"/>
    <w:rsid w:val="00E94279"/>
    <w:rsid w:val="00E9463A"/>
    <w:rsid w:val="00EB37CB"/>
    <w:rsid w:val="00EC6942"/>
    <w:rsid w:val="00ED1698"/>
    <w:rsid w:val="00ED1882"/>
    <w:rsid w:val="00ED2329"/>
    <w:rsid w:val="00ED5F56"/>
    <w:rsid w:val="00ED674F"/>
    <w:rsid w:val="00EE03EA"/>
    <w:rsid w:val="00EE36C1"/>
    <w:rsid w:val="00EE396A"/>
    <w:rsid w:val="00EE464C"/>
    <w:rsid w:val="00EE4A09"/>
    <w:rsid w:val="00EF0DDF"/>
    <w:rsid w:val="00EF2460"/>
    <w:rsid w:val="00EF69C5"/>
    <w:rsid w:val="00F00A38"/>
    <w:rsid w:val="00F06C43"/>
    <w:rsid w:val="00F07387"/>
    <w:rsid w:val="00F074A7"/>
    <w:rsid w:val="00F104F1"/>
    <w:rsid w:val="00F10C32"/>
    <w:rsid w:val="00F113D3"/>
    <w:rsid w:val="00F1650B"/>
    <w:rsid w:val="00F207B7"/>
    <w:rsid w:val="00F20F4D"/>
    <w:rsid w:val="00F26662"/>
    <w:rsid w:val="00F27AFD"/>
    <w:rsid w:val="00F31928"/>
    <w:rsid w:val="00F33AF6"/>
    <w:rsid w:val="00F34418"/>
    <w:rsid w:val="00F35341"/>
    <w:rsid w:val="00F368DA"/>
    <w:rsid w:val="00F46314"/>
    <w:rsid w:val="00F4695A"/>
    <w:rsid w:val="00F47F81"/>
    <w:rsid w:val="00F60825"/>
    <w:rsid w:val="00F63591"/>
    <w:rsid w:val="00F70673"/>
    <w:rsid w:val="00F71138"/>
    <w:rsid w:val="00F7266B"/>
    <w:rsid w:val="00F7316C"/>
    <w:rsid w:val="00F7792E"/>
    <w:rsid w:val="00F833FD"/>
    <w:rsid w:val="00F86966"/>
    <w:rsid w:val="00F9264E"/>
    <w:rsid w:val="00F92F49"/>
    <w:rsid w:val="00F95EF0"/>
    <w:rsid w:val="00FA1837"/>
    <w:rsid w:val="00FA1F73"/>
    <w:rsid w:val="00FB0DAF"/>
    <w:rsid w:val="00FB1533"/>
    <w:rsid w:val="00FB31A5"/>
    <w:rsid w:val="00FB36ED"/>
    <w:rsid w:val="00FB36FC"/>
    <w:rsid w:val="00FB4A20"/>
    <w:rsid w:val="00FC106B"/>
    <w:rsid w:val="00FC1E4B"/>
    <w:rsid w:val="00FC3C97"/>
    <w:rsid w:val="00FD02E9"/>
    <w:rsid w:val="00FD6032"/>
    <w:rsid w:val="00FE129E"/>
    <w:rsid w:val="00FE49A1"/>
    <w:rsid w:val="00FE51D5"/>
    <w:rsid w:val="00FF1013"/>
    <w:rsid w:val="00FF1EB4"/>
    <w:rsid w:val="00FF3970"/>
    <w:rsid w:val="00FF5618"/>
    <w:rsid w:val="00FF719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9DE3B4"/>
  <w15:docId w15:val="{1D0B6AF9-EE10-4D74-A3AC-414644DA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before="240"/>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ind w:left="0" w:firstLine="0"/>
    </w:pPr>
  </w:style>
  <w:style w:type="paragraph" w:styleId="Heading1">
    <w:name w:val="heading 1"/>
    <w:basedOn w:val="Normal"/>
    <w:next w:val="Normal"/>
    <w:link w:val="Heading1Char"/>
    <w:uiPriority w:val="9"/>
    <w:unhideWhenUsed/>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56D7"/>
    <w:pPr>
      <w:keepNext/>
      <w:keepLines/>
      <w:spacing w:before="200"/>
      <w:outlineLvl w:val="1"/>
    </w:pPr>
    <w:rPr>
      <w:rFonts w:ascii="Times New Roman Bold" w:eastAsia="Times New Roman" w:hAnsi="Times New Roman Bold" w:cs="Times New Roman"/>
      <w:b/>
      <w:bCs/>
      <w:sz w:val="26"/>
      <w:szCs w:val="26"/>
    </w:rPr>
  </w:style>
  <w:style w:type="paragraph" w:styleId="Heading3">
    <w:name w:val="heading 3"/>
    <w:basedOn w:val="Normal"/>
    <w:next w:val="Normal"/>
    <w:link w:val="Heading3Char"/>
    <w:uiPriority w:val="9"/>
    <w:unhideWhenUsed/>
    <w:qFormat/>
    <w:rsid w:val="004656D7"/>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4656D7"/>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9"/>
    <w:unhideWhenUsed/>
    <w:qFormat/>
    <w:rsid w:val="004656D7"/>
    <w:pPr>
      <w:keepNext/>
      <w:keepLines/>
      <w:spacing w:before="200"/>
      <w:outlineLvl w:val="4"/>
    </w:pPr>
    <w:rPr>
      <w:rFonts w:eastAsia="Times New Roman" w:cs="Times New Roman"/>
    </w:rPr>
  </w:style>
  <w:style w:type="paragraph" w:styleId="Heading6">
    <w:name w:val="heading 6"/>
    <w:basedOn w:val="Normal"/>
    <w:next w:val="Normal"/>
    <w:link w:val="Heading6Char"/>
    <w:uiPriority w:val="9"/>
    <w:unhideWhenUsed/>
    <w:qFormat/>
    <w:rsid w:val="004656D7"/>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9"/>
    <w:semiHidden/>
    <w:unhideWhenUsed/>
    <w:qFormat/>
    <w:rsid w:val="004656D7"/>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9"/>
    <w:semiHidden/>
    <w:unhideWhenUsed/>
    <w:qFormat/>
    <w:rsid w:val="004656D7"/>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9"/>
    <w:semiHidden/>
    <w:unhideWhenUsed/>
    <w:qFormat/>
    <w:rsid w:val="004656D7"/>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FBDBodyTextDbl">
    <w:name w:val="FBD Body Text Dbl"/>
    <w:basedOn w:val="Normal"/>
    <w:qFormat/>
    <w:pPr>
      <w:spacing w:after="240" w:line="480" w:lineRule="auto"/>
    </w:pPr>
  </w:style>
  <w:style w:type="paragraph" w:customStyle="1" w:styleId="FBDBodyTextIndentDouble">
    <w:name w:val="FBD Body Text Indent Double"/>
    <w:basedOn w:val="Normal"/>
    <w:qFormat/>
    <w:pPr>
      <w:spacing w:after="240" w:line="480" w:lineRule="auto"/>
      <w:ind w:firstLine="1440"/>
    </w:pPr>
  </w:style>
  <w:style w:type="paragraph" w:customStyle="1" w:styleId="FBDBodyTextIndentSgl">
    <w:name w:val="FBD Body Text Indent Sgl"/>
    <w:basedOn w:val="Normal"/>
    <w:qFormat/>
    <w:pPr>
      <w:spacing w:after="240"/>
      <w:ind w:firstLine="1440"/>
    </w:pPr>
  </w:style>
  <w:style w:type="paragraph" w:customStyle="1" w:styleId="FBDBodyTextSgl">
    <w:name w:val="FBD Body Text Sgl"/>
    <w:basedOn w:val="Normal"/>
    <w:qFormat/>
    <w:pPr>
      <w:spacing w:after="240"/>
    </w:pPr>
  </w:style>
  <w:style w:type="paragraph" w:customStyle="1" w:styleId="FBDBulletsSgl">
    <w:name w:val="FBD Bullets Sgl"/>
    <w:basedOn w:val="Normal"/>
    <w:qFormat/>
    <w:pPr>
      <w:numPr>
        <w:numId w:val="1"/>
      </w:numPr>
      <w:tabs>
        <w:tab w:val="left" w:pos="720"/>
      </w:tabs>
      <w:spacing w:after="240"/>
      <w:outlineLvl w:val="0"/>
    </w:pPr>
  </w:style>
  <w:style w:type="paragraph" w:customStyle="1" w:styleId="FBDHeading1">
    <w:name w:val="FBD Heading 1"/>
    <w:basedOn w:val="Normal"/>
    <w:next w:val="Normal"/>
    <w:qFormat/>
    <w:pPr>
      <w:keepNext/>
      <w:keepLines/>
      <w:spacing w:after="240"/>
      <w:jc w:val="center"/>
      <w:outlineLvl w:val="0"/>
    </w:pPr>
    <w:rPr>
      <w:b/>
    </w:rPr>
  </w:style>
  <w:style w:type="paragraph" w:customStyle="1" w:styleId="FBDHeading2">
    <w:name w:val="FBD Heading 2"/>
    <w:basedOn w:val="Normal"/>
    <w:next w:val="Normal"/>
    <w:qFormat/>
    <w:pPr>
      <w:keepNext/>
      <w:keepLines/>
      <w:spacing w:after="240"/>
      <w:outlineLvl w:val="1"/>
    </w:pPr>
    <w:rPr>
      <w:b/>
    </w:rPr>
  </w:style>
  <w:style w:type="paragraph" w:customStyle="1" w:styleId="FBDHeading3">
    <w:name w:val="FBD Heading 3"/>
    <w:basedOn w:val="Normal"/>
    <w:next w:val="Normal"/>
    <w:qFormat/>
    <w:pPr>
      <w:keepNext/>
      <w:keepLines/>
      <w:spacing w:after="240"/>
      <w:jc w:val="center"/>
    </w:pPr>
    <w:rPr>
      <w:u w:val="single"/>
    </w:rPr>
  </w:style>
  <w:style w:type="paragraph" w:customStyle="1" w:styleId="FBDHeading4">
    <w:name w:val="FBD Heading 4"/>
    <w:basedOn w:val="Normal"/>
    <w:next w:val="Normal"/>
    <w:qFormat/>
    <w:pPr>
      <w:keepNext/>
      <w:keepLines/>
      <w:spacing w:after="240"/>
      <w:outlineLvl w:val="3"/>
    </w:pPr>
    <w:rPr>
      <w:u w:val="single"/>
    </w:rPr>
  </w:style>
  <w:style w:type="paragraph" w:customStyle="1" w:styleId="FBDQuote">
    <w:name w:val="FBD Quote"/>
    <w:basedOn w:val="Normal"/>
    <w:next w:val="Normal"/>
    <w:qFormat/>
    <w:pPr>
      <w:spacing w:after="240"/>
      <w:ind w:left="1440" w:right="1440"/>
    </w:pPr>
  </w:style>
  <w:style w:type="paragraph" w:customStyle="1" w:styleId="FBDSignLine">
    <w:name w:val="FBD Sign Line"/>
    <w:basedOn w:val="Normal"/>
    <w:qFormat/>
    <w:pPr>
      <w:keepNext/>
      <w:keepLines/>
      <w:widowControl w:val="0"/>
      <w:tabs>
        <w:tab w:val="left" w:pos="5126"/>
        <w:tab w:val="right" w:pos="9360"/>
      </w:tabs>
      <w:ind w:left="4320"/>
    </w:pPr>
  </w:style>
  <w:style w:type="paragraph" w:customStyle="1" w:styleId="FBDTitle">
    <w:name w:val="FBD Title"/>
    <w:basedOn w:val="Normal"/>
    <w:next w:val="Normal"/>
    <w:qFormat/>
    <w:pPr>
      <w:keepNext/>
      <w:spacing w:after="240"/>
      <w:jc w:val="center"/>
    </w:pPr>
    <w:rPr>
      <w:b/>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Pr>
      <w:rFonts w:ascii="Times New Roman" w:hAnsi="Times New Roman" w:cs="Times New Roman"/>
      <w:b w:val="0"/>
      <w:i w:val="0"/>
      <w:color w:val="000000"/>
      <w:sz w:val="16"/>
      <w:u w:val="non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2616D"/>
    <w:rPr>
      <w:rFonts w:ascii="Tahoma" w:hAnsi="Tahoma" w:cs="Tahoma"/>
      <w:sz w:val="16"/>
      <w:szCs w:val="16"/>
    </w:rPr>
  </w:style>
  <w:style w:type="character" w:customStyle="1" w:styleId="BalloonTextChar">
    <w:name w:val="Balloon Text Char"/>
    <w:basedOn w:val="DefaultParagraphFont"/>
    <w:link w:val="BalloonText"/>
    <w:uiPriority w:val="99"/>
    <w:semiHidden/>
    <w:rsid w:val="0052616D"/>
    <w:rPr>
      <w:rFonts w:ascii="Tahoma" w:hAnsi="Tahoma" w:cs="Tahoma"/>
      <w:sz w:val="16"/>
      <w:szCs w:val="16"/>
    </w:rPr>
  </w:style>
  <w:style w:type="paragraph" w:customStyle="1" w:styleId="Heading21">
    <w:name w:val="Heading 21"/>
    <w:basedOn w:val="Normal"/>
    <w:next w:val="Normal"/>
    <w:uiPriority w:val="9"/>
    <w:unhideWhenUsed/>
    <w:qFormat/>
    <w:rsid w:val="004656D7"/>
    <w:pPr>
      <w:keepNext/>
      <w:keepLines/>
      <w:spacing w:before="200" w:line="276" w:lineRule="auto"/>
      <w:outlineLvl w:val="1"/>
    </w:pPr>
    <w:rPr>
      <w:rFonts w:ascii="Times New Roman Bold" w:eastAsia="Times New Roman" w:hAnsi="Times New Roman Bold" w:cs="Times New Roman"/>
      <w:b/>
      <w:bCs/>
      <w:sz w:val="26"/>
      <w:szCs w:val="26"/>
    </w:rPr>
  </w:style>
  <w:style w:type="paragraph" w:customStyle="1" w:styleId="Heading31">
    <w:name w:val="Heading 31"/>
    <w:basedOn w:val="Normal"/>
    <w:next w:val="Normal"/>
    <w:uiPriority w:val="9"/>
    <w:unhideWhenUsed/>
    <w:qFormat/>
    <w:rsid w:val="004656D7"/>
    <w:pPr>
      <w:keepNext/>
      <w:keepLines/>
      <w:spacing w:before="200" w:line="276" w:lineRule="auto"/>
      <w:outlineLvl w:val="2"/>
    </w:pPr>
    <w:rPr>
      <w:rFonts w:eastAsia="Times New Roman" w:cs="Times New Roman"/>
      <w:b/>
      <w:bCs/>
    </w:rPr>
  </w:style>
  <w:style w:type="paragraph" w:customStyle="1" w:styleId="Heading41">
    <w:name w:val="Heading 41"/>
    <w:basedOn w:val="Normal"/>
    <w:next w:val="Normal"/>
    <w:uiPriority w:val="9"/>
    <w:unhideWhenUsed/>
    <w:qFormat/>
    <w:rsid w:val="004656D7"/>
    <w:pPr>
      <w:keepNext/>
      <w:keepLines/>
      <w:spacing w:after="240" w:line="276" w:lineRule="auto"/>
      <w:outlineLvl w:val="3"/>
    </w:pPr>
    <w:rPr>
      <w:rFonts w:eastAsia="Times New Roman" w:cs="Times New Roman"/>
      <w:b/>
      <w:bCs/>
      <w:i/>
      <w:iCs/>
    </w:rPr>
  </w:style>
  <w:style w:type="paragraph" w:customStyle="1" w:styleId="Heading51">
    <w:name w:val="Heading 51"/>
    <w:basedOn w:val="Normal"/>
    <w:next w:val="Normal"/>
    <w:uiPriority w:val="9"/>
    <w:unhideWhenUsed/>
    <w:qFormat/>
    <w:rsid w:val="004656D7"/>
    <w:pPr>
      <w:keepNext/>
      <w:keepLines/>
      <w:spacing w:before="200" w:line="276" w:lineRule="auto"/>
      <w:outlineLvl w:val="4"/>
    </w:pPr>
    <w:rPr>
      <w:rFonts w:eastAsia="Times New Roman" w:cs="Times New Roman"/>
    </w:rPr>
  </w:style>
  <w:style w:type="paragraph" w:customStyle="1" w:styleId="Heading61">
    <w:name w:val="Heading 61"/>
    <w:basedOn w:val="Normal"/>
    <w:next w:val="Normal"/>
    <w:uiPriority w:val="9"/>
    <w:unhideWhenUsed/>
    <w:qFormat/>
    <w:rsid w:val="004656D7"/>
    <w:pPr>
      <w:keepNext/>
      <w:keepLines/>
      <w:spacing w:before="200" w:line="276" w:lineRule="auto"/>
      <w:outlineLvl w:val="5"/>
    </w:pPr>
    <w:rPr>
      <w:rFonts w:eastAsia="Times New Roman" w:cs="Times New Roman"/>
      <w:i/>
      <w:iCs/>
    </w:rPr>
  </w:style>
  <w:style w:type="paragraph" w:customStyle="1" w:styleId="Heading71">
    <w:name w:val="Heading 71"/>
    <w:basedOn w:val="Normal"/>
    <w:next w:val="Normal"/>
    <w:uiPriority w:val="9"/>
    <w:semiHidden/>
    <w:unhideWhenUsed/>
    <w:qFormat/>
    <w:rsid w:val="004656D7"/>
    <w:pPr>
      <w:keepNext/>
      <w:keepLines/>
      <w:spacing w:before="200" w:line="276" w:lineRule="auto"/>
      <w:outlineLvl w:val="6"/>
    </w:pPr>
    <w:rPr>
      <w:rFonts w:eastAsia="Times New Roman" w:cs="Times New Roman"/>
      <w:i/>
      <w:iCs/>
    </w:rPr>
  </w:style>
  <w:style w:type="paragraph" w:customStyle="1" w:styleId="Heading81">
    <w:name w:val="Heading 81"/>
    <w:basedOn w:val="Normal"/>
    <w:next w:val="Normal"/>
    <w:uiPriority w:val="9"/>
    <w:semiHidden/>
    <w:unhideWhenUsed/>
    <w:qFormat/>
    <w:rsid w:val="004656D7"/>
    <w:pPr>
      <w:keepNext/>
      <w:keepLines/>
      <w:spacing w:before="200" w:line="276" w:lineRule="auto"/>
      <w:outlineLvl w:val="7"/>
    </w:pPr>
    <w:rPr>
      <w:rFonts w:eastAsia="Times New Roman" w:cs="Times New Roman"/>
      <w:szCs w:val="20"/>
    </w:rPr>
  </w:style>
  <w:style w:type="paragraph" w:customStyle="1" w:styleId="Heading91">
    <w:name w:val="Heading 91"/>
    <w:basedOn w:val="Normal"/>
    <w:next w:val="Normal"/>
    <w:uiPriority w:val="9"/>
    <w:semiHidden/>
    <w:unhideWhenUsed/>
    <w:qFormat/>
    <w:rsid w:val="004656D7"/>
    <w:pPr>
      <w:keepNext/>
      <w:keepLines/>
      <w:spacing w:before="200" w:line="276" w:lineRule="auto"/>
      <w:outlineLvl w:val="8"/>
    </w:pPr>
    <w:rPr>
      <w:rFonts w:eastAsia="Times New Roman" w:cs="Times New Roman"/>
      <w:i/>
      <w:iCs/>
      <w:szCs w:val="20"/>
    </w:rPr>
  </w:style>
  <w:style w:type="numbering" w:customStyle="1" w:styleId="NoList1">
    <w:name w:val="No List1"/>
    <w:next w:val="NoList"/>
    <w:uiPriority w:val="99"/>
    <w:semiHidden/>
    <w:unhideWhenUsed/>
    <w:rsid w:val="004656D7"/>
  </w:style>
  <w:style w:type="character" w:customStyle="1" w:styleId="Heading2Char">
    <w:name w:val="Heading 2 Char"/>
    <w:basedOn w:val="DefaultParagraphFont"/>
    <w:link w:val="Heading2"/>
    <w:uiPriority w:val="9"/>
    <w:rsid w:val="004656D7"/>
    <w:rPr>
      <w:rFonts w:ascii="Times New Roman Bold" w:eastAsia="Times New Roman" w:hAnsi="Times New Roman Bold" w:cs="Times New Roman"/>
      <w:b/>
      <w:bCs/>
      <w:sz w:val="26"/>
      <w:szCs w:val="26"/>
    </w:rPr>
  </w:style>
  <w:style w:type="character" w:customStyle="1" w:styleId="Heading3Char">
    <w:name w:val="Heading 3 Char"/>
    <w:basedOn w:val="DefaultParagraphFont"/>
    <w:link w:val="Heading3"/>
    <w:uiPriority w:val="9"/>
    <w:rsid w:val="004656D7"/>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4656D7"/>
    <w:rPr>
      <w:rFonts w:ascii="Times New Roman" w:eastAsia="Times New Roman" w:hAnsi="Times New Roman" w:cs="Times New Roman"/>
      <w:b/>
      <w:bCs/>
      <w:i/>
      <w:iCs/>
      <w:sz w:val="24"/>
    </w:rPr>
  </w:style>
  <w:style w:type="character" w:customStyle="1" w:styleId="Heading5Char">
    <w:name w:val="Heading 5 Char"/>
    <w:basedOn w:val="DefaultParagraphFont"/>
    <w:link w:val="Heading5"/>
    <w:uiPriority w:val="9"/>
    <w:rsid w:val="004656D7"/>
    <w:rPr>
      <w:rFonts w:ascii="Times New Roman" w:eastAsia="Times New Roman" w:hAnsi="Times New Roman" w:cs="Times New Roman"/>
      <w:sz w:val="24"/>
    </w:rPr>
  </w:style>
  <w:style w:type="character" w:customStyle="1" w:styleId="Heading6Char">
    <w:name w:val="Heading 6 Char"/>
    <w:basedOn w:val="DefaultParagraphFont"/>
    <w:link w:val="Heading6"/>
    <w:uiPriority w:val="9"/>
    <w:rsid w:val="004656D7"/>
    <w:rPr>
      <w:rFonts w:ascii="Times New Roman" w:eastAsia="Times New Roman" w:hAnsi="Times New Roman" w:cs="Times New Roman"/>
      <w:i/>
      <w:iCs/>
      <w:sz w:val="24"/>
    </w:rPr>
  </w:style>
  <w:style w:type="character" w:customStyle="1" w:styleId="Heading7Char">
    <w:name w:val="Heading 7 Char"/>
    <w:basedOn w:val="DefaultParagraphFont"/>
    <w:link w:val="Heading7"/>
    <w:uiPriority w:val="9"/>
    <w:semiHidden/>
    <w:rsid w:val="004656D7"/>
    <w:rPr>
      <w:rFonts w:ascii="Times New Roman" w:eastAsia="Times New Roman" w:hAnsi="Times New Roman" w:cs="Times New Roman"/>
      <w:i/>
      <w:iCs/>
      <w:sz w:val="24"/>
    </w:rPr>
  </w:style>
  <w:style w:type="character" w:customStyle="1" w:styleId="Heading8Char">
    <w:name w:val="Heading 8 Char"/>
    <w:basedOn w:val="DefaultParagraphFont"/>
    <w:link w:val="Heading8"/>
    <w:uiPriority w:val="9"/>
    <w:semiHidden/>
    <w:rsid w:val="004656D7"/>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4656D7"/>
    <w:rPr>
      <w:rFonts w:ascii="Times New Roman" w:eastAsia="Times New Roman" w:hAnsi="Times New Roman" w:cs="Times New Roman"/>
      <w:i/>
      <w:iCs/>
      <w:sz w:val="24"/>
      <w:szCs w:val="20"/>
    </w:rPr>
  </w:style>
  <w:style w:type="paragraph" w:customStyle="1" w:styleId="FBDBodyTextLetter">
    <w:name w:val="FBD Body Text Letter"/>
    <w:basedOn w:val="FBDBodyTextSgl"/>
    <w:rsid w:val="004656D7"/>
    <w:rPr>
      <w:rFonts w:eastAsia="Copperplate Gothic Light" w:cs="Times New Roman"/>
    </w:rPr>
  </w:style>
  <w:style w:type="paragraph" w:customStyle="1" w:styleId="TOCHeading1">
    <w:name w:val="TOC Heading1"/>
    <w:basedOn w:val="Heading1"/>
    <w:next w:val="Normal"/>
    <w:uiPriority w:val="39"/>
    <w:unhideWhenUsed/>
    <w:qFormat/>
    <w:rsid w:val="004656D7"/>
    <w:pPr>
      <w:outlineLvl w:val="9"/>
    </w:pPr>
    <w:rPr>
      <w:color w:val="auto"/>
    </w:rPr>
  </w:style>
  <w:style w:type="numbering" w:customStyle="1" w:styleId="NoList11">
    <w:name w:val="No List11"/>
    <w:next w:val="NoList"/>
    <w:uiPriority w:val="99"/>
    <w:semiHidden/>
    <w:unhideWhenUsed/>
    <w:rsid w:val="004656D7"/>
  </w:style>
  <w:style w:type="character" w:styleId="FollowedHyperlink">
    <w:name w:val="FollowedHyperlink"/>
    <w:basedOn w:val="DefaultParagraphFont"/>
    <w:uiPriority w:val="99"/>
    <w:semiHidden/>
    <w:unhideWhenUsed/>
    <w:rsid w:val="004656D7"/>
    <w:rPr>
      <w:color w:val="446633"/>
      <w:u w:val="single"/>
    </w:rPr>
  </w:style>
  <w:style w:type="paragraph" w:styleId="HTMLAddress">
    <w:name w:val="HTML Address"/>
    <w:basedOn w:val="Normal"/>
    <w:link w:val="HTMLAddressChar"/>
    <w:uiPriority w:val="99"/>
    <w:semiHidden/>
    <w:unhideWhenUsed/>
    <w:rsid w:val="004656D7"/>
    <w:pPr>
      <w:spacing w:before="240" w:after="240"/>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4656D7"/>
    <w:rPr>
      <w:rFonts w:eastAsia="Times New Roman" w:cs="Times New Roman"/>
      <w:i/>
      <w:iCs/>
      <w:szCs w:val="24"/>
    </w:rPr>
  </w:style>
  <w:style w:type="paragraph" w:styleId="HTMLPreformatted">
    <w:name w:val="HTML Preformatted"/>
    <w:basedOn w:val="Normal"/>
    <w:link w:val="HTMLPreformattedChar"/>
    <w:uiPriority w:val="99"/>
    <w:semiHidden/>
    <w:unhideWhenUsed/>
    <w:rsid w:val="004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56D7"/>
    <w:rPr>
      <w:rFonts w:ascii="Courier New" w:eastAsia="Times New Roman" w:hAnsi="Courier New" w:cs="Courier New"/>
      <w:sz w:val="20"/>
      <w:szCs w:val="20"/>
    </w:rPr>
  </w:style>
  <w:style w:type="paragraph" w:customStyle="1" w:styleId="byline">
    <w:name w:val="byline"/>
    <w:basedOn w:val="Normal"/>
    <w:rsid w:val="004656D7"/>
    <w:pPr>
      <w:spacing w:before="30" w:after="240" w:line="180" w:lineRule="atLeast"/>
    </w:pPr>
    <w:rPr>
      <w:rFonts w:eastAsia="Times New Roman" w:cs="Times New Roman"/>
      <w:color w:val="666666"/>
      <w:sz w:val="15"/>
      <w:szCs w:val="15"/>
    </w:rPr>
  </w:style>
  <w:style w:type="paragraph" w:customStyle="1" w:styleId="r1">
    <w:name w:val="r1"/>
    <w:basedOn w:val="Normal"/>
    <w:rsid w:val="004656D7"/>
    <w:pPr>
      <w:shd w:val="clear" w:color="auto" w:fill="FFFFFF"/>
      <w:spacing w:line="270" w:lineRule="atLeast"/>
    </w:pPr>
    <w:rPr>
      <w:rFonts w:eastAsia="Times New Roman" w:cs="Times New Roman"/>
      <w:sz w:val="17"/>
      <w:szCs w:val="17"/>
    </w:rPr>
  </w:style>
  <w:style w:type="paragraph" w:customStyle="1" w:styleId="r2">
    <w:name w:val="r2"/>
    <w:basedOn w:val="Normal"/>
    <w:rsid w:val="004656D7"/>
    <w:pPr>
      <w:shd w:val="clear" w:color="auto" w:fill="F9F9F9"/>
      <w:spacing w:line="270" w:lineRule="atLeast"/>
    </w:pPr>
    <w:rPr>
      <w:rFonts w:eastAsia="Times New Roman" w:cs="Times New Roman"/>
      <w:sz w:val="17"/>
      <w:szCs w:val="17"/>
    </w:rPr>
  </w:style>
  <w:style w:type="paragraph" w:customStyle="1" w:styleId="clearfix">
    <w:name w:val="clearfix"/>
    <w:basedOn w:val="Normal"/>
    <w:rsid w:val="004656D7"/>
    <w:pPr>
      <w:spacing w:before="240" w:after="240" w:line="270" w:lineRule="atLeast"/>
    </w:pPr>
    <w:rPr>
      <w:rFonts w:eastAsia="Times New Roman" w:cs="Times New Roman"/>
      <w:sz w:val="17"/>
      <w:szCs w:val="17"/>
    </w:rPr>
  </w:style>
  <w:style w:type="paragraph" w:customStyle="1" w:styleId="error">
    <w:name w:val="error"/>
    <w:basedOn w:val="Normal"/>
    <w:rsid w:val="004656D7"/>
    <w:pPr>
      <w:spacing w:before="240" w:after="240" w:line="270" w:lineRule="atLeast"/>
    </w:pPr>
    <w:rPr>
      <w:rFonts w:eastAsia="Times New Roman" w:cs="Times New Roman"/>
      <w:b/>
      <w:bCs/>
      <w:color w:val="CC0000"/>
      <w:sz w:val="17"/>
      <w:szCs w:val="17"/>
    </w:rPr>
  </w:style>
  <w:style w:type="paragraph" w:customStyle="1" w:styleId="message">
    <w:name w:val="message"/>
    <w:basedOn w:val="Normal"/>
    <w:rsid w:val="004656D7"/>
    <w:pPr>
      <w:pBdr>
        <w:top w:val="single" w:sz="6" w:space="4" w:color="CC0000"/>
        <w:left w:val="single" w:sz="6" w:space="4" w:color="CC0000"/>
        <w:bottom w:val="single" w:sz="6" w:space="4" w:color="CC0000"/>
        <w:right w:val="single" w:sz="6" w:space="4" w:color="CC0000"/>
      </w:pBdr>
      <w:spacing w:before="240" w:after="150" w:line="270" w:lineRule="atLeast"/>
    </w:pPr>
    <w:rPr>
      <w:rFonts w:eastAsia="Times New Roman" w:cs="Times New Roman"/>
      <w:b/>
      <w:bCs/>
      <w:color w:val="CC0000"/>
      <w:sz w:val="26"/>
      <w:szCs w:val="26"/>
    </w:rPr>
  </w:style>
  <w:style w:type="paragraph" w:customStyle="1" w:styleId="nobold">
    <w:name w:val="nobold"/>
    <w:basedOn w:val="Normal"/>
    <w:rsid w:val="004656D7"/>
    <w:pPr>
      <w:spacing w:before="240" w:after="240" w:line="270" w:lineRule="atLeast"/>
    </w:pPr>
    <w:rPr>
      <w:rFonts w:eastAsia="Times New Roman" w:cs="Times New Roman"/>
      <w:sz w:val="17"/>
      <w:szCs w:val="17"/>
    </w:rPr>
  </w:style>
  <w:style w:type="paragraph" w:customStyle="1" w:styleId="bold">
    <w:name w:val="bold"/>
    <w:basedOn w:val="Normal"/>
    <w:rsid w:val="004656D7"/>
    <w:pPr>
      <w:spacing w:before="240" w:after="240" w:line="270" w:lineRule="atLeast"/>
    </w:pPr>
    <w:rPr>
      <w:rFonts w:eastAsia="Times New Roman" w:cs="Times New Roman"/>
      <w:b/>
      <w:bCs/>
      <w:sz w:val="17"/>
      <w:szCs w:val="17"/>
    </w:rPr>
  </w:style>
  <w:style w:type="paragraph" w:customStyle="1" w:styleId="rep">
    <w:name w:val="rep"/>
    <w:basedOn w:val="Normal"/>
    <w:rsid w:val="004656D7"/>
    <w:pPr>
      <w:spacing w:before="240" w:after="240" w:line="270" w:lineRule="atLeast"/>
    </w:pPr>
    <w:rPr>
      <w:rFonts w:eastAsia="Times New Roman" w:cs="Times New Roman"/>
      <w:color w:val="DE0100"/>
      <w:sz w:val="17"/>
      <w:szCs w:val="17"/>
    </w:rPr>
  </w:style>
  <w:style w:type="paragraph" w:customStyle="1" w:styleId="dem">
    <w:name w:val="dem"/>
    <w:basedOn w:val="Normal"/>
    <w:rsid w:val="004656D7"/>
    <w:pPr>
      <w:spacing w:before="240" w:after="240" w:line="270" w:lineRule="atLeast"/>
    </w:pPr>
    <w:rPr>
      <w:rFonts w:eastAsia="Times New Roman" w:cs="Times New Roman"/>
      <w:color w:val="1404BD"/>
      <w:sz w:val="17"/>
      <w:szCs w:val="17"/>
    </w:rPr>
  </w:style>
  <w:style w:type="paragraph" w:customStyle="1" w:styleId="red">
    <w:name w:val="red"/>
    <w:basedOn w:val="Normal"/>
    <w:rsid w:val="004656D7"/>
    <w:pPr>
      <w:spacing w:before="240" w:after="240" w:line="270" w:lineRule="atLeast"/>
    </w:pPr>
    <w:rPr>
      <w:rFonts w:eastAsia="Times New Roman" w:cs="Times New Roman"/>
      <w:color w:val="FF0000"/>
      <w:sz w:val="17"/>
      <w:szCs w:val="17"/>
    </w:rPr>
  </w:style>
  <w:style w:type="paragraph" w:customStyle="1" w:styleId="centered">
    <w:name w:val="centered"/>
    <w:basedOn w:val="Normal"/>
    <w:rsid w:val="004656D7"/>
    <w:pPr>
      <w:spacing w:before="240" w:after="240" w:line="270" w:lineRule="atLeast"/>
      <w:jc w:val="center"/>
    </w:pPr>
    <w:rPr>
      <w:rFonts w:eastAsia="Times New Roman" w:cs="Times New Roman"/>
      <w:sz w:val="17"/>
      <w:szCs w:val="17"/>
    </w:rPr>
  </w:style>
  <w:style w:type="paragraph" w:customStyle="1" w:styleId="displaynone">
    <w:name w:val="displaynone"/>
    <w:basedOn w:val="Normal"/>
    <w:rsid w:val="004656D7"/>
    <w:pPr>
      <w:spacing w:before="240" w:after="240" w:line="270" w:lineRule="atLeast"/>
    </w:pPr>
    <w:rPr>
      <w:rFonts w:eastAsia="Times New Roman" w:cs="Times New Roman"/>
      <w:vanish/>
      <w:sz w:val="17"/>
      <w:szCs w:val="17"/>
    </w:rPr>
  </w:style>
  <w:style w:type="paragraph" w:customStyle="1" w:styleId="displayblock">
    <w:name w:val="displayblock"/>
    <w:basedOn w:val="Normal"/>
    <w:rsid w:val="004656D7"/>
    <w:pPr>
      <w:spacing w:before="240" w:after="240" w:line="270" w:lineRule="atLeast"/>
    </w:pPr>
    <w:rPr>
      <w:rFonts w:eastAsia="Times New Roman" w:cs="Times New Roman"/>
      <w:sz w:val="17"/>
      <w:szCs w:val="17"/>
    </w:rPr>
  </w:style>
  <w:style w:type="paragraph" w:customStyle="1" w:styleId="whitebg">
    <w:name w:val="whitebg"/>
    <w:basedOn w:val="Normal"/>
    <w:rsid w:val="004656D7"/>
    <w:pPr>
      <w:shd w:val="clear" w:color="auto" w:fill="FFFFFF"/>
      <w:spacing w:before="240" w:after="240" w:line="270" w:lineRule="atLeast"/>
    </w:pPr>
    <w:rPr>
      <w:rFonts w:eastAsia="Times New Roman" w:cs="Times New Roman"/>
      <w:sz w:val="17"/>
      <w:szCs w:val="17"/>
    </w:rPr>
  </w:style>
  <w:style w:type="paragraph" w:customStyle="1" w:styleId="note">
    <w:name w:val="note"/>
    <w:basedOn w:val="Normal"/>
    <w:rsid w:val="004656D7"/>
    <w:pPr>
      <w:spacing w:before="240" w:after="240" w:line="270" w:lineRule="atLeast"/>
    </w:pPr>
    <w:rPr>
      <w:rFonts w:eastAsia="Times New Roman" w:cs="Times New Roman"/>
      <w:color w:val="666666"/>
      <w:sz w:val="17"/>
      <w:szCs w:val="17"/>
    </w:rPr>
  </w:style>
  <w:style w:type="paragraph" w:customStyle="1" w:styleId="bnum">
    <w:name w:val="bnum"/>
    <w:basedOn w:val="Normal"/>
    <w:rsid w:val="004656D7"/>
    <w:pPr>
      <w:spacing w:before="240" w:after="240" w:line="270" w:lineRule="atLeast"/>
    </w:pPr>
    <w:rPr>
      <w:rFonts w:eastAsia="Times New Roman" w:cs="Times New Roman"/>
      <w:b/>
      <w:bCs/>
      <w:sz w:val="18"/>
      <w:szCs w:val="18"/>
    </w:rPr>
  </w:style>
  <w:style w:type="paragraph" w:customStyle="1" w:styleId="btitle">
    <w:name w:val="btitle"/>
    <w:basedOn w:val="Normal"/>
    <w:rsid w:val="004656D7"/>
    <w:pPr>
      <w:spacing w:before="240" w:after="240" w:line="270" w:lineRule="atLeast"/>
    </w:pPr>
    <w:rPr>
      <w:rFonts w:eastAsia="Times New Roman" w:cs="Times New Roman"/>
      <w:b/>
      <w:bCs/>
      <w:i/>
      <w:iCs/>
      <w:sz w:val="18"/>
      <w:szCs w:val="18"/>
    </w:rPr>
  </w:style>
  <w:style w:type="paragraph" w:customStyle="1" w:styleId="cname">
    <w:name w:val="cname"/>
    <w:basedOn w:val="Normal"/>
    <w:rsid w:val="004656D7"/>
    <w:pPr>
      <w:spacing w:before="240" w:after="240" w:line="270" w:lineRule="atLeast"/>
    </w:pPr>
    <w:rPr>
      <w:rFonts w:eastAsia="Times New Roman" w:cs="Times New Roman"/>
      <w:b/>
      <w:bCs/>
      <w:sz w:val="18"/>
      <w:szCs w:val="18"/>
    </w:rPr>
  </w:style>
  <w:style w:type="paragraph" w:customStyle="1" w:styleId="lname">
    <w:name w:val="lname"/>
    <w:basedOn w:val="Normal"/>
    <w:rsid w:val="004656D7"/>
    <w:pPr>
      <w:spacing w:before="240" w:after="240" w:line="270" w:lineRule="atLeast"/>
    </w:pPr>
    <w:rPr>
      <w:rFonts w:eastAsia="Times New Roman" w:cs="Times New Roman"/>
      <w:b/>
      <w:bCs/>
      <w:sz w:val="18"/>
      <w:szCs w:val="18"/>
    </w:rPr>
  </w:style>
  <w:style w:type="paragraph" w:customStyle="1" w:styleId="nomarg">
    <w:name w:val="nomarg"/>
    <w:basedOn w:val="Normal"/>
    <w:rsid w:val="004656D7"/>
    <w:pPr>
      <w:spacing w:line="270" w:lineRule="atLeast"/>
    </w:pPr>
    <w:rPr>
      <w:rFonts w:eastAsia="Times New Roman" w:cs="Times New Roman"/>
      <w:sz w:val="17"/>
      <w:szCs w:val="17"/>
    </w:rPr>
  </w:style>
  <w:style w:type="paragraph" w:customStyle="1" w:styleId="udm">
    <w:name w:val="udm"/>
    <w:basedOn w:val="Normal"/>
    <w:rsid w:val="004656D7"/>
    <w:pPr>
      <w:spacing w:after="375" w:line="270" w:lineRule="atLeast"/>
    </w:pPr>
    <w:rPr>
      <w:rFonts w:eastAsia="Times New Roman" w:cs="Times New Roman"/>
      <w:sz w:val="17"/>
      <w:szCs w:val="17"/>
    </w:rPr>
  </w:style>
  <w:style w:type="paragraph" w:customStyle="1" w:styleId="udms">
    <w:name w:val="udms"/>
    <w:basedOn w:val="Normal"/>
    <w:rsid w:val="004656D7"/>
    <w:pPr>
      <w:spacing w:before="240" w:after="240" w:line="270" w:lineRule="atLeast"/>
    </w:pPr>
    <w:rPr>
      <w:rFonts w:eastAsia="Times New Roman" w:cs="Times New Roman"/>
      <w:sz w:val="17"/>
      <w:szCs w:val="17"/>
    </w:rPr>
  </w:style>
  <w:style w:type="paragraph" w:customStyle="1" w:styleId="udmc">
    <w:name w:val="udmc"/>
    <w:basedOn w:val="Normal"/>
    <w:rsid w:val="004656D7"/>
    <w:pPr>
      <w:spacing w:before="240" w:after="240" w:line="270" w:lineRule="atLeast"/>
    </w:pPr>
    <w:rPr>
      <w:rFonts w:eastAsia="Times New Roman" w:cs="Times New Roman"/>
      <w:sz w:val="17"/>
      <w:szCs w:val="17"/>
    </w:rPr>
  </w:style>
  <w:style w:type="paragraph" w:customStyle="1" w:styleId="udma">
    <w:name w:val="udma"/>
    <w:basedOn w:val="Normal"/>
    <w:rsid w:val="004656D7"/>
    <w:pPr>
      <w:spacing w:before="240" w:after="240" w:line="270" w:lineRule="atLeast"/>
    </w:pPr>
    <w:rPr>
      <w:rFonts w:eastAsia="Times New Roman" w:cs="Times New Roman"/>
      <w:sz w:val="17"/>
      <w:szCs w:val="17"/>
    </w:rPr>
  </w:style>
  <w:style w:type="character" w:customStyle="1" w:styleId="tab">
    <w:name w:val="tab"/>
    <w:basedOn w:val="DefaultParagraphFont"/>
    <w:rsid w:val="004656D7"/>
  </w:style>
  <w:style w:type="paragraph" w:customStyle="1" w:styleId="udma1">
    <w:name w:val="udma1"/>
    <w:basedOn w:val="Normal"/>
    <w:rsid w:val="004656D7"/>
    <w:pPr>
      <w:spacing w:line="270" w:lineRule="atLeast"/>
      <w:ind w:left="75" w:right="75"/>
      <w:jc w:val="right"/>
    </w:pPr>
    <w:rPr>
      <w:rFonts w:ascii="Arial" w:eastAsia="Times New Roman" w:hAnsi="Arial" w:cs="Arial"/>
      <w:b/>
      <w:bCs/>
      <w:sz w:val="17"/>
      <w:szCs w:val="17"/>
    </w:rPr>
  </w:style>
  <w:style w:type="paragraph" w:customStyle="1" w:styleId="udma2">
    <w:name w:val="udma2"/>
    <w:basedOn w:val="Normal"/>
    <w:rsid w:val="004656D7"/>
    <w:pPr>
      <w:spacing w:line="270" w:lineRule="atLeast"/>
      <w:ind w:left="75" w:right="75"/>
      <w:jc w:val="right"/>
    </w:pPr>
    <w:rPr>
      <w:rFonts w:ascii="Arial" w:eastAsia="Times New Roman" w:hAnsi="Arial" w:cs="Arial"/>
      <w:sz w:val="17"/>
      <w:szCs w:val="17"/>
    </w:rPr>
  </w:style>
  <w:style w:type="paragraph" w:customStyle="1" w:styleId="udms1">
    <w:name w:val="udms1"/>
    <w:basedOn w:val="Normal"/>
    <w:rsid w:val="004656D7"/>
    <w:pPr>
      <w:shd w:val="clear" w:color="auto" w:fill="000000"/>
      <w:spacing w:before="30" w:after="240" w:line="270" w:lineRule="atLeast"/>
      <w:ind w:left="30"/>
    </w:pPr>
    <w:rPr>
      <w:rFonts w:eastAsia="Times New Roman" w:cs="Times New Roman"/>
      <w:vanish/>
      <w:sz w:val="17"/>
      <w:szCs w:val="17"/>
    </w:rPr>
  </w:style>
  <w:style w:type="paragraph" w:customStyle="1" w:styleId="udma3">
    <w:name w:val="udma3"/>
    <w:basedOn w:val="Normal"/>
    <w:rsid w:val="004656D7"/>
    <w:pPr>
      <w:spacing w:line="270" w:lineRule="atLeast"/>
      <w:ind w:left="75" w:right="75"/>
      <w:jc w:val="right"/>
    </w:pPr>
    <w:rPr>
      <w:rFonts w:ascii="Arial" w:eastAsia="Times New Roman" w:hAnsi="Arial" w:cs="Arial"/>
      <w:b/>
      <w:bCs/>
      <w:sz w:val="17"/>
      <w:szCs w:val="17"/>
    </w:rPr>
  </w:style>
  <w:style w:type="paragraph" w:customStyle="1" w:styleId="udma4">
    <w:name w:val="udma4"/>
    <w:basedOn w:val="Normal"/>
    <w:rsid w:val="004656D7"/>
    <w:pPr>
      <w:spacing w:line="270" w:lineRule="atLeast"/>
      <w:ind w:left="75" w:right="75"/>
      <w:jc w:val="right"/>
    </w:pPr>
    <w:rPr>
      <w:rFonts w:ascii="Arial" w:eastAsia="Times New Roman" w:hAnsi="Arial" w:cs="Arial"/>
      <w:b/>
      <w:bCs/>
      <w:sz w:val="17"/>
      <w:szCs w:val="17"/>
    </w:rPr>
  </w:style>
  <w:style w:type="paragraph" w:customStyle="1" w:styleId="udma5">
    <w:name w:val="udma5"/>
    <w:basedOn w:val="Normal"/>
    <w:rsid w:val="004656D7"/>
    <w:pPr>
      <w:spacing w:line="270" w:lineRule="atLeast"/>
      <w:ind w:left="75" w:right="75"/>
      <w:jc w:val="right"/>
    </w:pPr>
    <w:rPr>
      <w:rFonts w:ascii="Arial" w:eastAsia="Times New Roman" w:hAnsi="Arial" w:cs="Arial"/>
      <w:sz w:val="17"/>
      <w:szCs w:val="17"/>
    </w:rPr>
  </w:style>
  <w:style w:type="paragraph" w:customStyle="1" w:styleId="udma6">
    <w:name w:val="udma6"/>
    <w:basedOn w:val="Normal"/>
    <w:rsid w:val="004656D7"/>
    <w:pPr>
      <w:spacing w:line="270" w:lineRule="atLeast"/>
      <w:ind w:left="75" w:right="75"/>
      <w:jc w:val="right"/>
    </w:pPr>
    <w:rPr>
      <w:rFonts w:ascii="Arial" w:eastAsia="Times New Roman" w:hAnsi="Arial" w:cs="Arial"/>
      <w:sz w:val="17"/>
      <w:szCs w:val="17"/>
    </w:rPr>
  </w:style>
  <w:style w:type="paragraph" w:customStyle="1" w:styleId="udmc1">
    <w:name w:val="udmc1"/>
    <w:basedOn w:val="Normal"/>
    <w:rsid w:val="004656D7"/>
    <w:pPr>
      <w:spacing w:before="240" w:after="240" w:line="270" w:lineRule="atLeast"/>
    </w:pPr>
    <w:rPr>
      <w:rFonts w:eastAsia="Times New Roman" w:cs="Times New Roman"/>
      <w:sz w:val="17"/>
      <w:szCs w:val="17"/>
    </w:rPr>
  </w:style>
  <w:style w:type="paragraph" w:customStyle="1" w:styleId="udma7">
    <w:name w:val="udma7"/>
    <w:basedOn w:val="Normal"/>
    <w:rsid w:val="004656D7"/>
    <w:pPr>
      <w:spacing w:line="270" w:lineRule="atLeast"/>
      <w:ind w:left="75" w:right="75"/>
      <w:jc w:val="right"/>
    </w:pPr>
    <w:rPr>
      <w:rFonts w:ascii="Arial" w:eastAsia="Times New Roman" w:hAnsi="Arial" w:cs="Arial"/>
      <w:b/>
      <w:bCs/>
      <w:sz w:val="17"/>
      <w:szCs w:val="17"/>
    </w:rPr>
  </w:style>
  <w:style w:type="paragraph" w:styleId="z-TopofForm">
    <w:name w:val="HTML Top of Form"/>
    <w:basedOn w:val="Normal"/>
    <w:next w:val="Normal"/>
    <w:link w:val="z-TopofFormChar"/>
    <w:hidden/>
    <w:uiPriority w:val="99"/>
    <w:semiHidden/>
    <w:unhideWhenUsed/>
    <w:rsid w:val="004656D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56D7"/>
    <w:rPr>
      <w:rFonts w:ascii="Arial" w:eastAsia="Times New Roman" w:hAnsi="Arial" w:cs="Arial"/>
      <w:vanish/>
      <w:sz w:val="16"/>
      <w:szCs w:val="16"/>
    </w:rPr>
  </w:style>
  <w:style w:type="character" w:customStyle="1" w:styleId="udma8">
    <w:name w:val="udma8"/>
    <w:basedOn w:val="DefaultParagraphFont"/>
    <w:rsid w:val="004656D7"/>
    <w:rPr>
      <w:rFonts w:ascii="Arial" w:hAnsi="Arial" w:cs="Arial" w:hint="default"/>
      <w:b/>
      <w:bCs/>
      <w:vanish w:val="0"/>
      <w:webHidden w:val="0"/>
      <w:bdr w:val="none" w:sz="0" w:space="0" w:color="auto" w:frame="1"/>
      <w:specVanish w:val="0"/>
    </w:rPr>
  </w:style>
  <w:style w:type="character" w:customStyle="1" w:styleId="udma9">
    <w:name w:val="udma9"/>
    <w:basedOn w:val="DefaultParagraphFont"/>
    <w:rsid w:val="004656D7"/>
    <w:rPr>
      <w:rFonts w:ascii="Arial" w:hAnsi="Arial" w:cs="Arial" w:hint="default"/>
      <w:b w:val="0"/>
      <w:bCs w:val="0"/>
      <w:vanish w:val="0"/>
      <w:webHidden w:val="0"/>
      <w:bdr w:val="none" w:sz="0" w:space="0" w:color="auto" w:frame="1"/>
      <w:specVanish w:val="0"/>
    </w:rPr>
  </w:style>
  <w:style w:type="character" w:customStyle="1" w:styleId="bnum1">
    <w:name w:val="bnum1"/>
    <w:basedOn w:val="DefaultParagraphFont"/>
    <w:rsid w:val="004656D7"/>
    <w:rPr>
      <w:b/>
      <w:bCs/>
      <w:sz w:val="18"/>
      <w:szCs w:val="18"/>
    </w:rPr>
  </w:style>
  <w:style w:type="character" w:customStyle="1" w:styleId="btitle1">
    <w:name w:val="btitle1"/>
    <w:basedOn w:val="DefaultParagraphFont"/>
    <w:rsid w:val="004656D7"/>
    <w:rPr>
      <w:b/>
      <w:bCs/>
      <w:i/>
      <w:iCs/>
      <w:sz w:val="18"/>
      <w:szCs w:val="18"/>
    </w:rPr>
  </w:style>
  <w:style w:type="character" w:customStyle="1" w:styleId="red1">
    <w:name w:val="red1"/>
    <w:basedOn w:val="DefaultParagraphFont"/>
    <w:rsid w:val="004656D7"/>
    <w:rPr>
      <w:color w:val="FF0000"/>
    </w:rPr>
  </w:style>
  <w:style w:type="paragraph" w:styleId="z-BottomofForm">
    <w:name w:val="HTML Bottom of Form"/>
    <w:basedOn w:val="Normal"/>
    <w:next w:val="Normal"/>
    <w:link w:val="z-BottomofFormChar"/>
    <w:hidden/>
    <w:uiPriority w:val="99"/>
    <w:semiHidden/>
    <w:unhideWhenUsed/>
    <w:rsid w:val="004656D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56D7"/>
    <w:rPr>
      <w:rFonts w:ascii="Arial" w:eastAsia="Times New Roman" w:hAnsi="Arial" w:cs="Arial"/>
      <w:vanish/>
      <w:sz w:val="16"/>
      <w:szCs w:val="16"/>
    </w:rPr>
  </w:style>
  <w:style w:type="table" w:customStyle="1" w:styleId="TableGrid1">
    <w:name w:val="Table Grid1"/>
    <w:basedOn w:val="TableNormal"/>
    <w:next w:val="TableGrid"/>
    <w:uiPriority w:val="59"/>
    <w:rsid w:val="004656D7"/>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656D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4656D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656D7"/>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4656D7"/>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4656D7"/>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4656D7"/>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4656D7"/>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4656D7"/>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667980"/>
  </w:style>
  <w:style w:type="paragraph" w:customStyle="1" w:styleId="TOCHeading2">
    <w:name w:val="TOC Heading2"/>
    <w:basedOn w:val="Heading1"/>
    <w:next w:val="Normal"/>
    <w:uiPriority w:val="39"/>
    <w:unhideWhenUsed/>
    <w:qFormat/>
    <w:rsid w:val="00667980"/>
    <w:pPr>
      <w:outlineLvl w:val="9"/>
    </w:pPr>
    <w:rPr>
      <w:color w:val="auto"/>
    </w:rPr>
  </w:style>
  <w:style w:type="numbering" w:customStyle="1" w:styleId="NoList12">
    <w:name w:val="No List12"/>
    <w:next w:val="NoList"/>
    <w:uiPriority w:val="99"/>
    <w:semiHidden/>
    <w:unhideWhenUsed/>
    <w:rsid w:val="00667980"/>
  </w:style>
  <w:style w:type="table" w:customStyle="1" w:styleId="TableGrid2">
    <w:name w:val="Table Grid2"/>
    <w:basedOn w:val="TableNormal"/>
    <w:next w:val="TableGrid"/>
    <w:uiPriority w:val="59"/>
    <w:rsid w:val="00667980"/>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67980"/>
  </w:style>
  <w:style w:type="table" w:customStyle="1" w:styleId="TableGrid3">
    <w:name w:val="Table Grid3"/>
    <w:basedOn w:val="TableNormal"/>
    <w:next w:val="TableGrid"/>
    <w:uiPriority w:val="59"/>
    <w:rsid w:val="0025106E"/>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E4E14"/>
  </w:style>
  <w:style w:type="paragraph" w:customStyle="1" w:styleId="TOCHeading3">
    <w:name w:val="TOC Heading3"/>
    <w:basedOn w:val="Heading1"/>
    <w:next w:val="Normal"/>
    <w:uiPriority w:val="39"/>
    <w:unhideWhenUsed/>
    <w:qFormat/>
    <w:rsid w:val="001E4E14"/>
    <w:pPr>
      <w:outlineLvl w:val="9"/>
    </w:pPr>
    <w:rPr>
      <w:color w:val="auto"/>
    </w:rPr>
  </w:style>
  <w:style w:type="numbering" w:customStyle="1" w:styleId="NoList13">
    <w:name w:val="No List13"/>
    <w:next w:val="NoList"/>
    <w:uiPriority w:val="99"/>
    <w:semiHidden/>
    <w:unhideWhenUsed/>
    <w:rsid w:val="001E4E14"/>
  </w:style>
  <w:style w:type="table" w:customStyle="1" w:styleId="TableGrid4">
    <w:name w:val="Table Grid4"/>
    <w:basedOn w:val="TableNormal"/>
    <w:next w:val="TableGrid"/>
    <w:uiPriority w:val="59"/>
    <w:rsid w:val="001E4E14"/>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72F35"/>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7053"/>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7053"/>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A427D"/>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160C"/>
  </w:style>
  <w:style w:type="paragraph" w:customStyle="1" w:styleId="TOCHeading4">
    <w:name w:val="TOC Heading4"/>
    <w:basedOn w:val="Heading1"/>
    <w:next w:val="Normal"/>
    <w:uiPriority w:val="39"/>
    <w:unhideWhenUsed/>
    <w:qFormat/>
    <w:rsid w:val="00BF160C"/>
    <w:pPr>
      <w:outlineLvl w:val="9"/>
    </w:pPr>
    <w:rPr>
      <w:color w:val="auto"/>
    </w:rPr>
  </w:style>
  <w:style w:type="numbering" w:customStyle="1" w:styleId="NoList14">
    <w:name w:val="No List14"/>
    <w:next w:val="NoList"/>
    <w:uiPriority w:val="99"/>
    <w:semiHidden/>
    <w:unhideWhenUsed/>
    <w:rsid w:val="00BF160C"/>
  </w:style>
  <w:style w:type="table" w:customStyle="1" w:styleId="TableGrid9">
    <w:name w:val="Table Grid9"/>
    <w:basedOn w:val="TableNormal"/>
    <w:next w:val="TableGrid"/>
    <w:uiPriority w:val="59"/>
    <w:rsid w:val="00BF160C"/>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E4E2A"/>
  </w:style>
  <w:style w:type="paragraph" w:customStyle="1" w:styleId="TOCHeading5">
    <w:name w:val="TOC Heading5"/>
    <w:basedOn w:val="Heading1"/>
    <w:next w:val="Normal"/>
    <w:uiPriority w:val="39"/>
    <w:unhideWhenUsed/>
    <w:qFormat/>
    <w:rsid w:val="00BE4E2A"/>
    <w:pPr>
      <w:outlineLvl w:val="9"/>
    </w:pPr>
    <w:rPr>
      <w:color w:val="auto"/>
    </w:rPr>
  </w:style>
  <w:style w:type="numbering" w:customStyle="1" w:styleId="NoList15">
    <w:name w:val="No List15"/>
    <w:next w:val="NoList"/>
    <w:uiPriority w:val="99"/>
    <w:semiHidden/>
    <w:unhideWhenUsed/>
    <w:rsid w:val="00BE4E2A"/>
  </w:style>
  <w:style w:type="table" w:customStyle="1" w:styleId="TableGrid10">
    <w:name w:val="Table Grid10"/>
    <w:basedOn w:val="TableNormal"/>
    <w:next w:val="TableGrid"/>
    <w:uiPriority w:val="59"/>
    <w:rsid w:val="00BE4E2A"/>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84FF5"/>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9363F"/>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94860"/>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2F4F"/>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06207"/>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6784E"/>
    <w:pPr>
      <w:spacing w:before="0"/>
      <w:ind w:left="0"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43A0"/>
    <w:rPr>
      <w:b/>
      <w:bCs/>
    </w:rPr>
  </w:style>
  <w:style w:type="paragraph" w:customStyle="1" w:styleId="Default">
    <w:name w:val="Default"/>
    <w:rsid w:val="0050150B"/>
    <w:pPr>
      <w:autoSpaceDE w:val="0"/>
      <w:autoSpaceDN w:val="0"/>
      <w:adjustRightInd w:val="0"/>
      <w:spacing w:before="0"/>
      <w:ind w:left="0" w:firstLine="0"/>
    </w:pPr>
    <w:rPr>
      <w:rFonts w:ascii="Tahoma" w:hAnsi="Tahoma" w:cs="Tahoma"/>
      <w:color w:val="000000"/>
      <w:szCs w:val="24"/>
    </w:rPr>
  </w:style>
  <w:style w:type="numbering" w:customStyle="1" w:styleId="NoList6">
    <w:name w:val="No List6"/>
    <w:next w:val="NoList"/>
    <w:uiPriority w:val="99"/>
    <w:semiHidden/>
    <w:unhideWhenUsed/>
    <w:rsid w:val="00562D90"/>
  </w:style>
  <w:style w:type="table" w:customStyle="1" w:styleId="TableGrid17">
    <w:name w:val="Table Grid17"/>
    <w:basedOn w:val="TableNormal"/>
    <w:next w:val="TableGrid"/>
    <w:uiPriority w:val="59"/>
    <w:rsid w:val="009704E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569"/>
    <w:rPr>
      <w:color w:val="808080"/>
      <w:shd w:val="clear" w:color="auto" w:fill="E6E6E6"/>
    </w:rPr>
  </w:style>
  <w:style w:type="numbering" w:customStyle="1" w:styleId="NoList7">
    <w:name w:val="No List7"/>
    <w:next w:val="NoList"/>
    <w:uiPriority w:val="99"/>
    <w:semiHidden/>
    <w:unhideWhenUsed/>
    <w:rsid w:val="0010039B"/>
  </w:style>
  <w:style w:type="paragraph" w:customStyle="1" w:styleId="msonormal0">
    <w:name w:val="msonormal"/>
    <w:basedOn w:val="Normal"/>
    <w:rsid w:val="0010039B"/>
    <w:pPr>
      <w:spacing w:before="100" w:beforeAutospacing="1" w:after="100" w:afterAutospacing="1"/>
    </w:pPr>
    <w:rPr>
      <w:rFonts w:eastAsia="Times New Roman" w:cs="Times New Roman"/>
      <w:szCs w:val="24"/>
    </w:rPr>
  </w:style>
  <w:style w:type="numbering" w:customStyle="1" w:styleId="NoList8">
    <w:name w:val="No List8"/>
    <w:next w:val="NoList"/>
    <w:uiPriority w:val="99"/>
    <w:semiHidden/>
    <w:unhideWhenUsed/>
    <w:rsid w:val="00F00A38"/>
  </w:style>
  <w:style w:type="paragraph" w:customStyle="1" w:styleId="MacPacTrailer">
    <w:name w:val="MacPac Trailer"/>
    <w:rsid w:val="00062B5E"/>
    <w:pPr>
      <w:widowControl w:val="0"/>
      <w:spacing w:before="0"/>
      <w:ind w:left="0" w:firstLine="0"/>
    </w:pPr>
    <w:rPr>
      <w:rFonts w:ascii="Garamond" w:eastAsia="Times New Roman" w:hAnsi="Garamond" w:cs="Times New Roman"/>
      <w:sz w:val="16"/>
    </w:rPr>
  </w:style>
  <w:style w:type="character" w:styleId="PlaceholderText">
    <w:name w:val="Placeholder Text"/>
    <w:basedOn w:val="DefaultParagraphFont"/>
    <w:uiPriority w:val="99"/>
    <w:semiHidden/>
    <w:rsid w:val="00062B5E"/>
    <w:rPr>
      <w:color w:val="808080"/>
    </w:rPr>
  </w:style>
  <w:style w:type="numbering" w:customStyle="1" w:styleId="NoList9">
    <w:name w:val="No List9"/>
    <w:next w:val="NoList"/>
    <w:uiPriority w:val="99"/>
    <w:semiHidden/>
    <w:unhideWhenUsed/>
    <w:rsid w:val="00221779"/>
  </w:style>
  <w:style w:type="numbering" w:customStyle="1" w:styleId="NoList10">
    <w:name w:val="No List10"/>
    <w:next w:val="NoList"/>
    <w:uiPriority w:val="99"/>
    <w:semiHidden/>
    <w:unhideWhenUsed/>
    <w:rsid w:val="00831D3C"/>
  </w:style>
  <w:style w:type="numbering" w:customStyle="1" w:styleId="NoList16">
    <w:name w:val="No List16"/>
    <w:next w:val="NoList"/>
    <w:uiPriority w:val="99"/>
    <w:semiHidden/>
    <w:unhideWhenUsed/>
    <w:rsid w:val="001A3E41"/>
  </w:style>
  <w:style w:type="numbering" w:customStyle="1" w:styleId="NoList17">
    <w:name w:val="No List17"/>
    <w:next w:val="NoList"/>
    <w:uiPriority w:val="99"/>
    <w:semiHidden/>
    <w:unhideWhenUsed/>
    <w:rsid w:val="00C7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5692">
      <w:bodyDiv w:val="1"/>
      <w:marLeft w:val="0"/>
      <w:marRight w:val="0"/>
      <w:marTop w:val="0"/>
      <w:marBottom w:val="0"/>
      <w:divBdr>
        <w:top w:val="none" w:sz="0" w:space="0" w:color="auto"/>
        <w:left w:val="none" w:sz="0" w:space="0" w:color="auto"/>
        <w:bottom w:val="none" w:sz="0" w:space="0" w:color="auto"/>
        <w:right w:val="none" w:sz="0" w:space="0" w:color="auto"/>
      </w:divBdr>
    </w:div>
    <w:div w:id="138422481">
      <w:bodyDiv w:val="1"/>
      <w:marLeft w:val="0"/>
      <w:marRight w:val="0"/>
      <w:marTop w:val="0"/>
      <w:marBottom w:val="0"/>
      <w:divBdr>
        <w:top w:val="none" w:sz="0" w:space="0" w:color="auto"/>
        <w:left w:val="none" w:sz="0" w:space="0" w:color="auto"/>
        <w:bottom w:val="none" w:sz="0" w:space="0" w:color="auto"/>
        <w:right w:val="none" w:sz="0" w:space="0" w:color="auto"/>
      </w:divBdr>
    </w:div>
    <w:div w:id="145826266">
      <w:bodyDiv w:val="1"/>
      <w:marLeft w:val="0"/>
      <w:marRight w:val="0"/>
      <w:marTop w:val="0"/>
      <w:marBottom w:val="0"/>
      <w:divBdr>
        <w:top w:val="none" w:sz="0" w:space="0" w:color="auto"/>
        <w:left w:val="none" w:sz="0" w:space="0" w:color="auto"/>
        <w:bottom w:val="none" w:sz="0" w:space="0" w:color="auto"/>
        <w:right w:val="none" w:sz="0" w:space="0" w:color="auto"/>
      </w:divBdr>
      <w:divsChild>
        <w:div w:id="736515862">
          <w:marLeft w:val="0"/>
          <w:marRight w:val="0"/>
          <w:marTop w:val="0"/>
          <w:marBottom w:val="0"/>
          <w:divBdr>
            <w:top w:val="none" w:sz="0" w:space="0" w:color="auto"/>
            <w:left w:val="none" w:sz="0" w:space="0" w:color="auto"/>
            <w:bottom w:val="none" w:sz="0" w:space="0" w:color="auto"/>
            <w:right w:val="none" w:sz="0" w:space="0" w:color="auto"/>
          </w:divBdr>
          <w:divsChild>
            <w:div w:id="1384796283">
              <w:marLeft w:val="0"/>
              <w:marRight w:val="0"/>
              <w:marTop w:val="0"/>
              <w:marBottom w:val="0"/>
              <w:divBdr>
                <w:top w:val="none" w:sz="0" w:space="0" w:color="auto"/>
                <w:left w:val="none" w:sz="0" w:space="0" w:color="auto"/>
                <w:bottom w:val="none" w:sz="0" w:space="0" w:color="auto"/>
                <w:right w:val="none" w:sz="0" w:space="0" w:color="auto"/>
              </w:divBdr>
              <w:divsChild>
                <w:div w:id="1215854709">
                  <w:marLeft w:val="0"/>
                  <w:marRight w:val="0"/>
                  <w:marTop w:val="0"/>
                  <w:marBottom w:val="0"/>
                  <w:divBdr>
                    <w:top w:val="none" w:sz="0" w:space="0" w:color="auto"/>
                    <w:left w:val="none" w:sz="0" w:space="0" w:color="auto"/>
                    <w:bottom w:val="none" w:sz="0" w:space="0" w:color="auto"/>
                    <w:right w:val="none" w:sz="0" w:space="0" w:color="auto"/>
                  </w:divBdr>
                  <w:divsChild>
                    <w:div w:id="732385824">
                      <w:marLeft w:val="2700"/>
                      <w:marRight w:val="150"/>
                      <w:marTop w:val="0"/>
                      <w:marBottom w:val="0"/>
                      <w:divBdr>
                        <w:top w:val="none" w:sz="0" w:space="0" w:color="auto"/>
                        <w:left w:val="none" w:sz="0" w:space="0" w:color="auto"/>
                        <w:bottom w:val="none" w:sz="0" w:space="0" w:color="auto"/>
                        <w:right w:val="none" w:sz="0" w:space="0" w:color="auto"/>
                      </w:divBdr>
                      <w:divsChild>
                        <w:div w:id="534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4355">
      <w:bodyDiv w:val="1"/>
      <w:marLeft w:val="0"/>
      <w:marRight w:val="0"/>
      <w:marTop w:val="0"/>
      <w:marBottom w:val="0"/>
      <w:divBdr>
        <w:top w:val="none" w:sz="0" w:space="0" w:color="auto"/>
        <w:left w:val="none" w:sz="0" w:space="0" w:color="auto"/>
        <w:bottom w:val="none" w:sz="0" w:space="0" w:color="auto"/>
        <w:right w:val="none" w:sz="0" w:space="0" w:color="auto"/>
      </w:divBdr>
    </w:div>
    <w:div w:id="288056066">
      <w:bodyDiv w:val="1"/>
      <w:marLeft w:val="0"/>
      <w:marRight w:val="0"/>
      <w:marTop w:val="0"/>
      <w:marBottom w:val="0"/>
      <w:divBdr>
        <w:top w:val="none" w:sz="0" w:space="0" w:color="auto"/>
        <w:left w:val="none" w:sz="0" w:space="0" w:color="auto"/>
        <w:bottom w:val="none" w:sz="0" w:space="0" w:color="auto"/>
        <w:right w:val="none" w:sz="0" w:space="0" w:color="auto"/>
      </w:divBdr>
    </w:div>
    <w:div w:id="294526437">
      <w:bodyDiv w:val="1"/>
      <w:marLeft w:val="0"/>
      <w:marRight w:val="0"/>
      <w:marTop w:val="0"/>
      <w:marBottom w:val="0"/>
      <w:divBdr>
        <w:top w:val="none" w:sz="0" w:space="0" w:color="auto"/>
        <w:left w:val="none" w:sz="0" w:space="0" w:color="auto"/>
        <w:bottom w:val="none" w:sz="0" w:space="0" w:color="auto"/>
        <w:right w:val="none" w:sz="0" w:space="0" w:color="auto"/>
      </w:divBdr>
    </w:div>
    <w:div w:id="338198376">
      <w:bodyDiv w:val="1"/>
      <w:marLeft w:val="0"/>
      <w:marRight w:val="0"/>
      <w:marTop w:val="0"/>
      <w:marBottom w:val="0"/>
      <w:divBdr>
        <w:top w:val="none" w:sz="0" w:space="0" w:color="auto"/>
        <w:left w:val="none" w:sz="0" w:space="0" w:color="auto"/>
        <w:bottom w:val="none" w:sz="0" w:space="0" w:color="auto"/>
        <w:right w:val="none" w:sz="0" w:space="0" w:color="auto"/>
      </w:divBdr>
    </w:div>
    <w:div w:id="374357220">
      <w:bodyDiv w:val="1"/>
      <w:marLeft w:val="0"/>
      <w:marRight w:val="0"/>
      <w:marTop w:val="0"/>
      <w:marBottom w:val="0"/>
      <w:divBdr>
        <w:top w:val="none" w:sz="0" w:space="0" w:color="auto"/>
        <w:left w:val="none" w:sz="0" w:space="0" w:color="auto"/>
        <w:bottom w:val="none" w:sz="0" w:space="0" w:color="auto"/>
        <w:right w:val="none" w:sz="0" w:space="0" w:color="auto"/>
      </w:divBdr>
    </w:div>
    <w:div w:id="444467338">
      <w:bodyDiv w:val="1"/>
      <w:marLeft w:val="0"/>
      <w:marRight w:val="0"/>
      <w:marTop w:val="0"/>
      <w:marBottom w:val="0"/>
      <w:divBdr>
        <w:top w:val="none" w:sz="0" w:space="0" w:color="auto"/>
        <w:left w:val="none" w:sz="0" w:space="0" w:color="auto"/>
        <w:bottom w:val="none" w:sz="0" w:space="0" w:color="auto"/>
        <w:right w:val="none" w:sz="0" w:space="0" w:color="auto"/>
      </w:divBdr>
    </w:div>
    <w:div w:id="517037892">
      <w:bodyDiv w:val="1"/>
      <w:marLeft w:val="0"/>
      <w:marRight w:val="0"/>
      <w:marTop w:val="0"/>
      <w:marBottom w:val="0"/>
      <w:divBdr>
        <w:top w:val="none" w:sz="0" w:space="0" w:color="auto"/>
        <w:left w:val="none" w:sz="0" w:space="0" w:color="auto"/>
        <w:bottom w:val="none" w:sz="0" w:space="0" w:color="auto"/>
        <w:right w:val="none" w:sz="0" w:space="0" w:color="auto"/>
      </w:divBdr>
    </w:div>
    <w:div w:id="546064217">
      <w:bodyDiv w:val="1"/>
      <w:marLeft w:val="0"/>
      <w:marRight w:val="0"/>
      <w:marTop w:val="0"/>
      <w:marBottom w:val="0"/>
      <w:divBdr>
        <w:top w:val="none" w:sz="0" w:space="0" w:color="auto"/>
        <w:left w:val="none" w:sz="0" w:space="0" w:color="auto"/>
        <w:bottom w:val="none" w:sz="0" w:space="0" w:color="auto"/>
        <w:right w:val="none" w:sz="0" w:space="0" w:color="auto"/>
      </w:divBdr>
    </w:div>
    <w:div w:id="593516558">
      <w:bodyDiv w:val="1"/>
      <w:marLeft w:val="0"/>
      <w:marRight w:val="0"/>
      <w:marTop w:val="0"/>
      <w:marBottom w:val="0"/>
      <w:divBdr>
        <w:top w:val="none" w:sz="0" w:space="0" w:color="auto"/>
        <w:left w:val="none" w:sz="0" w:space="0" w:color="auto"/>
        <w:bottom w:val="none" w:sz="0" w:space="0" w:color="auto"/>
        <w:right w:val="none" w:sz="0" w:space="0" w:color="auto"/>
      </w:divBdr>
    </w:div>
    <w:div w:id="654333491">
      <w:bodyDiv w:val="1"/>
      <w:marLeft w:val="0"/>
      <w:marRight w:val="0"/>
      <w:marTop w:val="0"/>
      <w:marBottom w:val="0"/>
      <w:divBdr>
        <w:top w:val="none" w:sz="0" w:space="0" w:color="auto"/>
        <w:left w:val="none" w:sz="0" w:space="0" w:color="auto"/>
        <w:bottom w:val="none" w:sz="0" w:space="0" w:color="auto"/>
        <w:right w:val="none" w:sz="0" w:space="0" w:color="auto"/>
      </w:divBdr>
    </w:div>
    <w:div w:id="733085988">
      <w:bodyDiv w:val="1"/>
      <w:marLeft w:val="0"/>
      <w:marRight w:val="0"/>
      <w:marTop w:val="0"/>
      <w:marBottom w:val="0"/>
      <w:divBdr>
        <w:top w:val="none" w:sz="0" w:space="0" w:color="auto"/>
        <w:left w:val="none" w:sz="0" w:space="0" w:color="auto"/>
        <w:bottom w:val="none" w:sz="0" w:space="0" w:color="auto"/>
        <w:right w:val="none" w:sz="0" w:space="0" w:color="auto"/>
      </w:divBdr>
    </w:div>
    <w:div w:id="741297420">
      <w:bodyDiv w:val="1"/>
      <w:marLeft w:val="0"/>
      <w:marRight w:val="0"/>
      <w:marTop w:val="0"/>
      <w:marBottom w:val="0"/>
      <w:divBdr>
        <w:top w:val="none" w:sz="0" w:space="0" w:color="auto"/>
        <w:left w:val="none" w:sz="0" w:space="0" w:color="auto"/>
        <w:bottom w:val="none" w:sz="0" w:space="0" w:color="auto"/>
        <w:right w:val="none" w:sz="0" w:space="0" w:color="auto"/>
      </w:divBdr>
    </w:div>
    <w:div w:id="783891876">
      <w:bodyDiv w:val="1"/>
      <w:marLeft w:val="0"/>
      <w:marRight w:val="0"/>
      <w:marTop w:val="0"/>
      <w:marBottom w:val="0"/>
      <w:divBdr>
        <w:top w:val="none" w:sz="0" w:space="0" w:color="auto"/>
        <w:left w:val="none" w:sz="0" w:space="0" w:color="auto"/>
        <w:bottom w:val="none" w:sz="0" w:space="0" w:color="auto"/>
        <w:right w:val="none" w:sz="0" w:space="0" w:color="auto"/>
      </w:divBdr>
    </w:div>
    <w:div w:id="795955149">
      <w:bodyDiv w:val="1"/>
      <w:marLeft w:val="0"/>
      <w:marRight w:val="0"/>
      <w:marTop w:val="0"/>
      <w:marBottom w:val="0"/>
      <w:divBdr>
        <w:top w:val="none" w:sz="0" w:space="0" w:color="auto"/>
        <w:left w:val="none" w:sz="0" w:space="0" w:color="auto"/>
        <w:bottom w:val="none" w:sz="0" w:space="0" w:color="auto"/>
        <w:right w:val="none" w:sz="0" w:space="0" w:color="auto"/>
      </w:divBdr>
    </w:div>
    <w:div w:id="868881922">
      <w:bodyDiv w:val="1"/>
      <w:marLeft w:val="0"/>
      <w:marRight w:val="0"/>
      <w:marTop w:val="0"/>
      <w:marBottom w:val="0"/>
      <w:divBdr>
        <w:top w:val="none" w:sz="0" w:space="0" w:color="auto"/>
        <w:left w:val="none" w:sz="0" w:space="0" w:color="auto"/>
        <w:bottom w:val="none" w:sz="0" w:space="0" w:color="auto"/>
        <w:right w:val="none" w:sz="0" w:space="0" w:color="auto"/>
      </w:divBdr>
    </w:div>
    <w:div w:id="868949573">
      <w:bodyDiv w:val="1"/>
      <w:marLeft w:val="0"/>
      <w:marRight w:val="0"/>
      <w:marTop w:val="0"/>
      <w:marBottom w:val="0"/>
      <w:divBdr>
        <w:top w:val="none" w:sz="0" w:space="0" w:color="auto"/>
        <w:left w:val="none" w:sz="0" w:space="0" w:color="auto"/>
        <w:bottom w:val="none" w:sz="0" w:space="0" w:color="auto"/>
        <w:right w:val="none" w:sz="0" w:space="0" w:color="auto"/>
      </w:divBdr>
    </w:div>
    <w:div w:id="929507561">
      <w:bodyDiv w:val="1"/>
      <w:marLeft w:val="0"/>
      <w:marRight w:val="0"/>
      <w:marTop w:val="0"/>
      <w:marBottom w:val="0"/>
      <w:divBdr>
        <w:top w:val="none" w:sz="0" w:space="0" w:color="auto"/>
        <w:left w:val="none" w:sz="0" w:space="0" w:color="auto"/>
        <w:bottom w:val="none" w:sz="0" w:space="0" w:color="auto"/>
        <w:right w:val="none" w:sz="0" w:space="0" w:color="auto"/>
      </w:divBdr>
    </w:div>
    <w:div w:id="1107505133">
      <w:bodyDiv w:val="1"/>
      <w:marLeft w:val="0"/>
      <w:marRight w:val="0"/>
      <w:marTop w:val="0"/>
      <w:marBottom w:val="0"/>
      <w:divBdr>
        <w:top w:val="none" w:sz="0" w:space="0" w:color="auto"/>
        <w:left w:val="none" w:sz="0" w:space="0" w:color="auto"/>
        <w:bottom w:val="none" w:sz="0" w:space="0" w:color="auto"/>
        <w:right w:val="none" w:sz="0" w:space="0" w:color="auto"/>
      </w:divBdr>
    </w:div>
    <w:div w:id="1182011985">
      <w:bodyDiv w:val="1"/>
      <w:marLeft w:val="0"/>
      <w:marRight w:val="0"/>
      <w:marTop w:val="0"/>
      <w:marBottom w:val="0"/>
      <w:divBdr>
        <w:top w:val="none" w:sz="0" w:space="0" w:color="auto"/>
        <w:left w:val="none" w:sz="0" w:space="0" w:color="auto"/>
        <w:bottom w:val="none" w:sz="0" w:space="0" w:color="auto"/>
        <w:right w:val="none" w:sz="0" w:space="0" w:color="auto"/>
      </w:divBdr>
    </w:div>
    <w:div w:id="1204445959">
      <w:bodyDiv w:val="1"/>
      <w:marLeft w:val="0"/>
      <w:marRight w:val="0"/>
      <w:marTop w:val="0"/>
      <w:marBottom w:val="0"/>
      <w:divBdr>
        <w:top w:val="none" w:sz="0" w:space="0" w:color="auto"/>
        <w:left w:val="none" w:sz="0" w:space="0" w:color="auto"/>
        <w:bottom w:val="none" w:sz="0" w:space="0" w:color="auto"/>
        <w:right w:val="none" w:sz="0" w:space="0" w:color="auto"/>
      </w:divBdr>
    </w:div>
    <w:div w:id="1204562055">
      <w:bodyDiv w:val="1"/>
      <w:marLeft w:val="0"/>
      <w:marRight w:val="0"/>
      <w:marTop w:val="0"/>
      <w:marBottom w:val="0"/>
      <w:divBdr>
        <w:top w:val="none" w:sz="0" w:space="0" w:color="auto"/>
        <w:left w:val="none" w:sz="0" w:space="0" w:color="auto"/>
        <w:bottom w:val="none" w:sz="0" w:space="0" w:color="auto"/>
        <w:right w:val="none" w:sz="0" w:space="0" w:color="auto"/>
      </w:divBdr>
    </w:div>
    <w:div w:id="1210266869">
      <w:bodyDiv w:val="1"/>
      <w:marLeft w:val="0"/>
      <w:marRight w:val="0"/>
      <w:marTop w:val="0"/>
      <w:marBottom w:val="0"/>
      <w:divBdr>
        <w:top w:val="none" w:sz="0" w:space="0" w:color="auto"/>
        <w:left w:val="none" w:sz="0" w:space="0" w:color="auto"/>
        <w:bottom w:val="none" w:sz="0" w:space="0" w:color="auto"/>
        <w:right w:val="none" w:sz="0" w:space="0" w:color="auto"/>
      </w:divBdr>
    </w:div>
    <w:div w:id="1239631915">
      <w:bodyDiv w:val="1"/>
      <w:marLeft w:val="0"/>
      <w:marRight w:val="0"/>
      <w:marTop w:val="0"/>
      <w:marBottom w:val="0"/>
      <w:divBdr>
        <w:top w:val="none" w:sz="0" w:space="0" w:color="auto"/>
        <w:left w:val="none" w:sz="0" w:space="0" w:color="auto"/>
        <w:bottom w:val="none" w:sz="0" w:space="0" w:color="auto"/>
        <w:right w:val="none" w:sz="0" w:space="0" w:color="auto"/>
      </w:divBdr>
    </w:div>
    <w:div w:id="1244798065">
      <w:bodyDiv w:val="1"/>
      <w:marLeft w:val="0"/>
      <w:marRight w:val="0"/>
      <w:marTop w:val="0"/>
      <w:marBottom w:val="0"/>
      <w:divBdr>
        <w:top w:val="none" w:sz="0" w:space="0" w:color="auto"/>
        <w:left w:val="none" w:sz="0" w:space="0" w:color="auto"/>
        <w:bottom w:val="none" w:sz="0" w:space="0" w:color="auto"/>
        <w:right w:val="none" w:sz="0" w:space="0" w:color="auto"/>
      </w:divBdr>
    </w:div>
    <w:div w:id="1334185304">
      <w:bodyDiv w:val="1"/>
      <w:marLeft w:val="0"/>
      <w:marRight w:val="0"/>
      <w:marTop w:val="0"/>
      <w:marBottom w:val="0"/>
      <w:divBdr>
        <w:top w:val="none" w:sz="0" w:space="0" w:color="auto"/>
        <w:left w:val="none" w:sz="0" w:space="0" w:color="auto"/>
        <w:bottom w:val="none" w:sz="0" w:space="0" w:color="auto"/>
        <w:right w:val="none" w:sz="0" w:space="0" w:color="auto"/>
      </w:divBdr>
    </w:div>
    <w:div w:id="1347749913">
      <w:bodyDiv w:val="1"/>
      <w:marLeft w:val="0"/>
      <w:marRight w:val="0"/>
      <w:marTop w:val="0"/>
      <w:marBottom w:val="0"/>
      <w:divBdr>
        <w:top w:val="none" w:sz="0" w:space="0" w:color="auto"/>
        <w:left w:val="none" w:sz="0" w:space="0" w:color="auto"/>
        <w:bottom w:val="none" w:sz="0" w:space="0" w:color="auto"/>
        <w:right w:val="none" w:sz="0" w:space="0" w:color="auto"/>
      </w:divBdr>
    </w:div>
    <w:div w:id="1353997478">
      <w:bodyDiv w:val="1"/>
      <w:marLeft w:val="0"/>
      <w:marRight w:val="0"/>
      <w:marTop w:val="0"/>
      <w:marBottom w:val="0"/>
      <w:divBdr>
        <w:top w:val="none" w:sz="0" w:space="0" w:color="auto"/>
        <w:left w:val="none" w:sz="0" w:space="0" w:color="auto"/>
        <w:bottom w:val="none" w:sz="0" w:space="0" w:color="auto"/>
        <w:right w:val="none" w:sz="0" w:space="0" w:color="auto"/>
      </w:divBdr>
    </w:div>
    <w:div w:id="1423065300">
      <w:bodyDiv w:val="1"/>
      <w:marLeft w:val="0"/>
      <w:marRight w:val="0"/>
      <w:marTop w:val="0"/>
      <w:marBottom w:val="0"/>
      <w:divBdr>
        <w:top w:val="none" w:sz="0" w:space="0" w:color="auto"/>
        <w:left w:val="none" w:sz="0" w:space="0" w:color="auto"/>
        <w:bottom w:val="none" w:sz="0" w:space="0" w:color="auto"/>
        <w:right w:val="none" w:sz="0" w:space="0" w:color="auto"/>
      </w:divBdr>
    </w:div>
    <w:div w:id="1430738919">
      <w:bodyDiv w:val="1"/>
      <w:marLeft w:val="0"/>
      <w:marRight w:val="0"/>
      <w:marTop w:val="0"/>
      <w:marBottom w:val="0"/>
      <w:divBdr>
        <w:top w:val="none" w:sz="0" w:space="0" w:color="auto"/>
        <w:left w:val="none" w:sz="0" w:space="0" w:color="auto"/>
        <w:bottom w:val="none" w:sz="0" w:space="0" w:color="auto"/>
        <w:right w:val="none" w:sz="0" w:space="0" w:color="auto"/>
      </w:divBdr>
    </w:div>
    <w:div w:id="1557736446">
      <w:bodyDiv w:val="1"/>
      <w:marLeft w:val="0"/>
      <w:marRight w:val="0"/>
      <w:marTop w:val="0"/>
      <w:marBottom w:val="0"/>
      <w:divBdr>
        <w:top w:val="none" w:sz="0" w:space="0" w:color="auto"/>
        <w:left w:val="none" w:sz="0" w:space="0" w:color="auto"/>
        <w:bottom w:val="none" w:sz="0" w:space="0" w:color="auto"/>
        <w:right w:val="none" w:sz="0" w:space="0" w:color="auto"/>
      </w:divBdr>
    </w:div>
    <w:div w:id="1598947712">
      <w:bodyDiv w:val="1"/>
      <w:marLeft w:val="0"/>
      <w:marRight w:val="0"/>
      <w:marTop w:val="0"/>
      <w:marBottom w:val="0"/>
      <w:divBdr>
        <w:top w:val="none" w:sz="0" w:space="0" w:color="auto"/>
        <w:left w:val="none" w:sz="0" w:space="0" w:color="auto"/>
        <w:bottom w:val="none" w:sz="0" w:space="0" w:color="auto"/>
        <w:right w:val="none" w:sz="0" w:space="0" w:color="auto"/>
      </w:divBdr>
      <w:divsChild>
        <w:div w:id="86587171">
          <w:marLeft w:val="1440"/>
          <w:marRight w:val="1440"/>
          <w:marTop w:val="0"/>
          <w:marBottom w:val="0"/>
          <w:divBdr>
            <w:top w:val="none" w:sz="0" w:space="0" w:color="auto"/>
            <w:left w:val="none" w:sz="0" w:space="0" w:color="auto"/>
            <w:bottom w:val="none" w:sz="0" w:space="0" w:color="auto"/>
            <w:right w:val="none" w:sz="0" w:space="0" w:color="auto"/>
          </w:divBdr>
        </w:div>
      </w:divsChild>
    </w:div>
    <w:div w:id="1618220331">
      <w:bodyDiv w:val="1"/>
      <w:marLeft w:val="0"/>
      <w:marRight w:val="0"/>
      <w:marTop w:val="0"/>
      <w:marBottom w:val="0"/>
      <w:divBdr>
        <w:top w:val="none" w:sz="0" w:space="0" w:color="auto"/>
        <w:left w:val="none" w:sz="0" w:space="0" w:color="auto"/>
        <w:bottom w:val="none" w:sz="0" w:space="0" w:color="auto"/>
        <w:right w:val="none" w:sz="0" w:space="0" w:color="auto"/>
      </w:divBdr>
    </w:div>
    <w:div w:id="1629045423">
      <w:bodyDiv w:val="1"/>
      <w:marLeft w:val="0"/>
      <w:marRight w:val="0"/>
      <w:marTop w:val="0"/>
      <w:marBottom w:val="0"/>
      <w:divBdr>
        <w:top w:val="none" w:sz="0" w:space="0" w:color="auto"/>
        <w:left w:val="none" w:sz="0" w:space="0" w:color="auto"/>
        <w:bottom w:val="none" w:sz="0" w:space="0" w:color="auto"/>
        <w:right w:val="none" w:sz="0" w:space="0" w:color="auto"/>
      </w:divBdr>
    </w:div>
    <w:div w:id="1728528559">
      <w:bodyDiv w:val="1"/>
      <w:marLeft w:val="0"/>
      <w:marRight w:val="0"/>
      <w:marTop w:val="0"/>
      <w:marBottom w:val="0"/>
      <w:divBdr>
        <w:top w:val="none" w:sz="0" w:space="0" w:color="auto"/>
        <w:left w:val="none" w:sz="0" w:space="0" w:color="auto"/>
        <w:bottom w:val="none" w:sz="0" w:space="0" w:color="auto"/>
        <w:right w:val="none" w:sz="0" w:space="0" w:color="auto"/>
      </w:divBdr>
    </w:div>
    <w:div w:id="1777601866">
      <w:bodyDiv w:val="1"/>
      <w:marLeft w:val="0"/>
      <w:marRight w:val="0"/>
      <w:marTop w:val="0"/>
      <w:marBottom w:val="0"/>
      <w:divBdr>
        <w:top w:val="none" w:sz="0" w:space="0" w:color="auto"/>
        <w:left w:val="none" w:sz="0" w:space="0" w:color="auto"/>
        <w:bottom w:val="none" w:sz="0" w:space="0" w:color="auto"/>
        <w:right w:val="none" w:sz="0" w:space="0" w:color="auto"/>
      </w:divBdr>
    </w:div>
    <w:div w:id="1836073837">
      <w:bodyDiv w:val="1"/>
      <w:marLeft w:val="0"/>
      <w:marRight w:val="0"/>
      <w:marTop w:val="0"/>
      <w:marBottom w:val="0"/>
      <w:divBdr>
        <w:top w:val="none" w:sz="0" w:space="0" w:color="auto"/>
        <w:left w:val="none" w:sz="0" w:space="0" w:color="auto"/>
        <w:bottom w:val="none" w:sz="0" w:space="0" w:color="auto"/>
        <w:right w:val="none" w:sz="0" w:space="0" w:color="auto"/>
      </w:divBdr>
    </w:div>
    <w:div w:id="1840581902">
      <w:bodyDiv w:val="1"/>
      <w:marLeft w:val="0"/>
      <w:marRight w:val="0"/>
      <w:marTop w:val="0"/>
      <w:marBottom w:val="0"/>
      <w:divBdr>
        <w:top w:val="none" w:sz="0" w:space="0" w:color="auto"/>
        <w:left w:val="none" w:sz="0" w:space="0" w:color="auto"/>
        <w:bottom w:val="none" w:sz="0" w:space="0" w:color="auto"/>
        <w:right w:val="none" w:sz="0" w:space="0" w:color="auto"/>
      </w:divBdr>
    </w:div>
    <w:div w:id="1908151806">
      <w:bodyDiv w:val="1"/>
      <w:marLeft w:val="0"/>
      <w:marRight w:val="0"/>
      <w:marTop w:val="0"/>
      <w:marBottom w:val="0"/>
      <w:divBdr>
        <w:top w:val="none" w:sz="0" w:space="0" w:color="auto"/>
        <w:left w:val="none" w:sz="0" w:space="0" w:color="auto"/>
        <w:bottom w:val="none" w:sz="0" w:space="0" w:color="auto"/>
        <w:right w:val="none" w:sz="0" w:space="0" w:color="auto"/>
      </w:divBdr>
    </w:div>
    <w:div w:id="1916551468">
      <w:bodyDiv w:val="1"/>
      <w:marLeft w:val="0"/>
      <w:marRight w:val="0"/>
      <w:marTop w:val="0"/>
      <w:marBottom w:val="0"/>
      <w:divBdr>
        <w:top w:val="none" w:sz="0" w:space="0" w:color="auto"/>
        <w:left w:val="none" w:sz="0" w:space="0" w:color="auto"/>
        <w:bottom w:val="none" w:sz="0" w:space="0" w:color="auto"/>
        <w:right w:val="none" w:sz="0" w:space="0" w:color="auto"/>
      </w:divBdr>
    </w:div>
    <w:div w:id="1986397895">
      <w:bodyDiv w:val="1"/>
      <w:marLeft w:val="0"/>
      <w:marRight w:val="0"/>
      <w:marTop w:val="0"/>
      <w:marBottom w:val="0"/>
      <w:divBdr>
        <w:top w:val="none" w:sz="0" w:space="0" w:color="auto"/>
        <w:left w:val="none" w:sz="0" w:space="0" w:color="auto"/>
        <w:bottom w:val="none" w:sz="0" w:space="0" w:color="auto"/>
        <w:right w:val="none" w:sz="0" w:space="0" w:color="auto"/>
      </w:divBdr>
    </w:div>
    <w:div w:id="2055618346">
      <w:bodyDiv w:val="1"/>
      <w:marLeft w:val="0"/>
      <w:marRight w:val="0"/>
      <w:marTop w:val="0"/>
      <w:marBottom w:val="0"/>
      <w:divBdr>
        <w:top w:val="none" w:sz="0" w:space="0" w:color="auto"/>
        <w:left w:val="none" w:sz="0" w:space="0" w:color="auto"/>
        <w:bottom w:val="none" w:sz="0" w:space="0" w:color="auto"/>
        <w:right w:val="none" w:sz="0" w:space="0" w:color="auto"/>
      </w:divBdr>
    </w:div>
    <w:div w:id="20701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ga.in.gov/legislative/2023/bills/house/13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ga.in.gov/legislative/2023/bills/senate/419" TargetMode="External"/><Relationship Id="rId17" Type="http://schemas.openxmlformats.org/officeDocument/2006/relationships/hyperlink" Target="http://iga.in.gov/legislative/2023/bills/senate/9" TargetMode="External"/><Relationship Id="rId2" Type="http://schemas.openxmlformats.org/officeDocument/2006/relationships/numbering" Target="numbering.xml"/><Relationship Id="rId16" Type="http://schemas.openxmlformats.org/officeDocument/2006/relationships/hyperlink" Target="http://iga.in.gov/legislative/2023/bills/house/11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a.in.gov/legislative/2023/bills/house/1085" TargetMode="External"/><Relationship Id="rId5" Type="http://schemas.openxmlformats.org/officeDocument/2006/relationships/webSettings" Target="webSettings.xml"/><Relationship Id="rId15" Type="http://schemas.openxmlformats.org/officeDocument/2006/relationships/hyperlink" Target="http://iga.in.gov/legislative/2023/bills/senate/202" TargetMode="External"/><Relationship Id="rId10" Type="http://schemas.openxmlformats.org/officeDocument/2006/relationships/hyperlink" Target="http://iga.in.gov/legislative/2023/bills/house/10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ga.in.gov/legislative/2023/bills/house/1001" TargetMode="External"/><Relationship Id="rId14" Type="http://schemas.openxmlformats.org/officeDocument/2006/relationships/hyperlink" Target="http://iga.in.gov/legislative/2023/bills/senate/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7A6A-BCF4-4316-A815-821E71F3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Faegre Baker Daniels LLP</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Cierzniak, Elizabeth K.</dc:creator>
  <cp:keywords/>
  <dc:description/>
  <cp:lastModifiedBy>Boswell, Brad</cp:lastModifiedBy>
  <cp:revision>13</cp:revision>
  <cp:lastPrinted>2014-02-09T15:44:00Z</cp:lastPrinted>
  <dcterms:created xsi:type="dcterms:W3CDTF">2023-02-24T16:40:00Z</dcterms:created>
  <dcterms:modified xsi:type="dcterms:W3CDTF">2023-02-24T16:47:00Z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